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采购需求</w:t>
      </w:r>
    </w:p>
    <w:p>
      <w:pPr>
        <w:jc w:val="center"/>
        <w:rPr>
          <w:rFonts w:hint="eastAsia" w:asciiTheme="minorEastAsia" w:hAnsiTheme="minorEastAsia" w:eastAsiaTheme="minorEastAsia" w:cstheme="minorEastAsia"/>
          <w:b/>
          <w:sz w:val="24"/>
          <w:szCs w:val="24"/>
        </w:rPr>
      </w:pPr>
    </w:p>
    <w:p>
      <w:pPr>
        <w:spacing w:line="360" w:lineRule="auto"/>
        <w:jc w:val="center"/>
        <w:outlineLvl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（仅供参考，最终以</w:t>
      </w:r>
      <w:r>
        <w:rPr>
          <w:rFonts w:hint="eastAsia" w:asciiTheme="minorEastAsia" w:hAnsiTheme="minorEastAsia" w:eastAsiaTheme="minorEastAsia" w:cstheme="minorEastAsia"/>
          <w:b/>
          <w:bCs/>
          <w:sz w:val="24"/>
          <w:szCs w:val="24"/>
          <w:lang w:val="en-US" w:eastAsia="zh-CN"/>
        </w:rPr>
        <w:t>采购</w:t>
      </w:r>
      <w:r>
        <w:rPr>
          <w:rFonts w:hint="eastAsia" w:asciiTheme="minorEastAsia" w:hAnsiTheme="minorEastAsia" w:eastAsiaTheme="minorEastAsia" w:cstheme="minorEastAsia"/>
          <w:b/>
          <w:bCs/>
          <w:sz w:val="24"/>
          <w:szCs w:val="24"/>
        </w:rPr>
        <w:t>文件为准）</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pPr>
        <w:spacing w:line="360" w:lineRule="auto"/>
        <w:ind w:firstLine="435"/>
        <w:rPr>
          <w:rFonts w:ascii="宋体" w:hAnsi="宋体" w:eastAsia="宋体"/>
          <w:bCs/>
          <w:sz w:val="24"/>
          <w:szCs w:val="18"/>
        </w:rPr>
      </w:pPr>
      <w:r>
        <w:rPr>
          <w:rFonts w:asciiTheme="minorEastAsia" w:hAnsiTheme="minorEastAsia" w:eastAsiaTheme="minorEastAsia"/>
          <w:sz w:val="24"/>
        </w:rPr>
        <w:t>本采购需求中提出的服务方案仅为参考，如无明确限制，投标</w:t>
      </w:r>
      <w:r>
        <w:rPr>
          <w:rFonts w:hint="eastAsia" w:asciiTheme="minorEastAsia" w:hAnsiTheme="minorEastAsia" w:eastAsiaTheme="minorEastAsia"/>
          <w:sz w:val="24"/>
        </w:rPr>
        <w:t>人</w:t>
      </w:r>
      <w:r>
        <w:rPr>
          <w:rFonts w:asciiTheme="minorEastAsia" w:hAnsiTheme="minorEastAsia" w:eastAsiaTheme="minorEastAsia"/>
          <w:sz w:val="24"/>
        </w:rPr>
        <w:t>可以进行优化，提供满足采购人实际需要的更优（或者性能实质上不低于的）服务方案，且此方案须经评标委员会评审认可</w:t>
      </w:r>
      <w:r>
        <w:rPr>
          <w:rFonts w:hint="eastAsia" w:asciiTheme="minorEastAsia" w:hAnsiTheme="minorEastAsia" w:eastAsiaTheme="minorEastAsia"/>
          <w:sz w:val="24"/>
        </w:rPr>
        <w:t>。</w:t>
      </w:r>
    </w:p>
    <w:p>
      <w:pPr>
        <w:spacing w:line="360" w:lineRule="auto"/>
        <w:ind w:firstLine="437"/>
        <w:outlineLvl w:val="1"/>
        <w:rPr>
          <w:rFonts w:ascii="宋体" w:hAnsi="宋体" w:eastAsia="宋体"/>
          <w:b/>
          <w:sz w:val="24"/>
          <w:szCs w:val="18"/>
        </w:rPr>
      </w:pPr>
      <w:bookmarkStart w:id="0" w:name="_Hlk23621890"/>
      <w:r>
        <w:rPr>
          <w:rFonts w:hint="eastAsia" w:ascii="宋体" w:hAnsi="宋体" w:eastAsia="宋体"/>
          <w:b/>
          <w:sz w:val="24"/>
          <w:szCs w:val="18"/>
        </w:rPr>
        <w:t>一、采购需求前附表</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032"/>
        <w:gridCol w:w="5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pPr>
              <w:pStyle w:val="18"/>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2032" w:type="dxa"/>
            <w:vAlign w:val="center"/>
          </w:tcPr>
          <w:p>
            <w:pPr>
              <w:pStyle w:val="19"/>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5483" w:type="dxa"/>
            <w:vAlign w:val="center"/>
          </w:tcPr>
          <w:p>
            <w:pPr>
              <w:pStyle w:val="19"/>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pPr>
              <w:pStyle w:val="1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2032" w:type="dxa"/>
            <w:vAlign w:val="center"/>
          </w:tcPr>
          <w:p>
            <w:pPr>
              <w:pStyle w:val="1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5483" w:type="dxa"/>
            <w:vAlign w:val="center"/>
          </w:tcPr>
          <w:p>
            <w:pPr>
              <w:pStyle w:val="19"/>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u w:val="single"/>
              </w:rPr>
              <w:t>宽带接入完工，验收合格后一次付清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pPr>
              <w:pStyle w:val="1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2032" w:type="dxa"/>
            <w:vAlign w:val="center"/>
          </w:tcPr>
          <w:p>
            <w:pPr>
              <w:pStyle w:val="1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服务地点</w:t>
            </w:r>
          </w:p>
        </w:tc>
        <w:tc>
          <w:tcPr>
            <w:tcW w:w="5483" w:type="dxa"/>
            <w:vAlign w:val="center"/>
          </w:tcPr>
          <w:p>
            <w:pPr>
              <w:pStyle w:val="19"/>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安徽艺术职业学院，采购人指定地点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pPr>
              <w:pStyle w:val="1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2032" w:type="dxa"/>
            <w:vAlign w:val="center"/>
          </w:tcPr>
          <w:p>
            <w:pPr>
              <w:pStyle w:val="1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服务期限</w:t>
            </w:r>
          </w:p>
        </w:tc>
        <w:tc>
          <w:tcPr>
            <w:tcW w:w="5483" w:type="dxa"/>
            <w:vAlign w:val="center"/>
          </w:tcPr>
          <w:p>
            <w:pPr>
              <w:pStyle w:val="19"/>
              <w:widowControl w:val="0"/>
              <w:spacing w:before="0" w:beforeAutospacing="0" w:after="0" w:afterAutospacing="0" w:line="360" w:lineRule="auto"/>
              <w:jc w:val="both"/>
              <w:rPr>
                <w:rFonts w:hint="eastAsia" w:ascii="宋体" w:hAnsi="宋体" w:eastAsia="宋体"/>
                <w:b w:val="0"/>
                <w:sz w:val="24"/>
                <w:lang w:eastAsia="zh-CN"/>
              </w:rPr>
            </w:pPr>
            <w:r>
              <w:rPr>
                <w:rFonts w:hint="eastAsia" w:ascii="宋体" w:hAnsi="宋体" w:eastAsia="宋体"/>
                <w:b w:val="0"/>
                <w:sz w:val="24"/>
                <w:u w:val="single"/>
              </w:rPr>
              <w:t>服务期1年，合同签订后一周内完成宽带接入、调试及验收等所有工作</w:t>
            </w:r>
            <w:r>
              <w:rPr>
                <w:rFonts w:hint="eastAsia" w:ascii="宋体" w:hAnsi="宋体" w:eastAsia="宋体"/>
                <w:b w:val="0"/>
                <w:sz w:val="24"/>
                <w:u w:val="single"/>
                <w:lang w:eastAsia="zh-CN"/>
              </w:rPr>
              <w:t>。如投标人履约良好，在资金保障且双方均同意的前提下，可以续签下一次合同，最多续签2次。合同一年一签，合同金额不变。</w:t>
            </w:r>
            <w:bookmarkStart w:id="3" w:name="_GoBack"/>
            <w:bookmarkEnd w:id="3"/>
          </w:p>
        </w:tc>
      </w:tr>
    </w:tbl>
    <w:p>
      <w:pPr>
        <w:spacing w:line="360" w:lineRule="auto"/>
        <w:ind w:firstLine="437"/>
        <w:outlineLvl w:val="1"/>
        <w:rPr>
          <w:rFonts w:ascii="宋体" w:hAnsi="宋体" w:eastAsia="宋体"/>
          <w:b/>
          <w:sz w:val="24"/>
          <w:szCs w:val="18"/>
        </w:rPr>
      </w:pPr>
      <w:bookmarkStart w:id="1" w:name="_Hlk16461016"/>
      <w:r>
        <w:rPr>
          <w:rFonts w:hint="eastAsia" w:ascii="宋体" w:hAnsi="宋体" w:eastAsia="宋体"/>
          <w:b/>
          <w:sz w:val="24"/>
          <w:szCs w:val="18"/>
        </w:rPr>
        <w:t>二、项目概况</w:t>
      </w:r>
    </w:p>
    <w:p>
      <w:pPr>
        <w:spacing w:line="360" w:lineRule="auto"/>
        <w:ind w:firstLine="437"/>
        <w:rPr>
          <w:rFonts w:ascii="宋体" w:hAnsi="宋体" w:eastAsia="宋体"/>
          <w:b/>
          <w:sz w:val="24"/>
          <w:szCs w:val="18"/>
        </w:rPr>
      </w:pPr>
      <w:r>
        <w:rPr>
          <w:rFonts w:hint="eastAsia" w:ascii="宋体" w:hAnsi="宋体" w:eastAsia="宋体"/>
          <w:bCs/>
          <w:sz w:val="24"/>
          <w:szCs w:val="18"/>
        </w:rPr>
        <w:t>安徽艺术职业学院坚持以人为本，以质立校，坚定不移走高质量内涵式发展道路，不断推进学院教育治理能力现代化，深化新时代教育评价改革，切实提高人才培养质量。本次采购一条1Gbps互联网专线，用于学校新校区教学、办公等要求。</w:t>
      </w:r>
    </w:p>
    <w:p>
      <w:pPr>
        <w:spacing w:line="360" w:lineRule="auto"/>
        <w:ind w:firstLine="437"/>
        <w:outlineLvl w:val="1"/>
        <w:rPr>
          <w:rFonts w:ascii="宋体" w:hAnsi="宋体" w:eastAsia="宋体"/>
          <w:b/>
          <w:sz w:val="24"/>
          <w:szCs w:val="18"/>
        </w:rPr>
      </w:pPr>
      <w:r>
        <w:rPr>
          <w:rFonts w:hint="eastAsia" w:ascii="宋体" w:hAnsi="宋体" w:eastAsia="宋体"/>
          <w:b/>
          <w:sz w:val="24"/>
          <w:szCs w:val="18"/>
        </w:rPr>
        <w:t>三、服务需求</w:t>
      </w:r>
    </w:p>
    <w:p>
      <w:pPr>
        <w:spacing w:line="360" w:lineRule="auto"/>
        <w:ind w:firstLine="437"/>
        <w:rPr>
          <w:rFonts w:ascii="宋体" w:hAnsi="宋体" w:eastAsia="宋体"/>
          <w:bCs/>
          <w:sz w:val="24"/>
          <w:szCs w:val="18"/>
        </w:rPr>
      </w:pPr>
      <w:r>
        <w:rPr>
          <w:rFonts w:hint="eastAsia" w:ascii="宋体" w:hAnsi="宋体" w:eastAsia="宋体"/>
          <w:bCs/>
          <w:sz w:val="24"/>
          <w:szCs w:val="18"/>
        </w:rPr>
        <w:t>1、中标人应对整个网络提供一站式服务，内容包括：售前统一服务接口：信道受理、申请、开通等。</w:t>
      </w:r>
    </w:p>
    <w:p>
      <w:pPr>
        <w:spacing w:line="360" w:lineRule="auto"/>
        <w:ind w:firstLine="437"/>
        <w:rPr>
          <w:rFonts w:ascii="宋体" w:hAnsi="宋体" w:eastAsia="宋体"/>
          <w:bCs/>
          <w:sz w:val="24"/>
          <w:szCs w:val="18"/>
        </w:rPr>
      </w:pPr>
      <w:r>
        <w:rPr>
          <w:rFonts w:hint="eastAsia" w:ascii="宋体" w:hAnsi="宋体" w:eastAsia="宋体"/>
          <w:bCs/>
          <w:sz w:val="24"/>
          <w:szCs w:val="18"/>
        </w:rPr>
        <w:t xml:space="preserve">2、为保证网络系统通信质量，投标人按照国家相关保密法规要求，为采购人提供安全、稳定的线路，保证本系统网络的安全、稳定使用，确保整个业务系统网络的通畅和安全，要求网络线路具有足够的带宽并稳定可靠且具有可扩展性； </w:t>
      </w:r>
    </w:p>
    <w:p>
      <w:pPr>
        <w:spacing w:line="360" w:lineRule="auto"/>
        <w:ind w:firstLine="437"/>
        <w:rPr>
          <w:rFonts w:ascii="宋体" w:hAnsi="宋体" w:eastAsia="宋体"/>
          <w:bCs/>
          <w:sz w:val="24"/>
          <w:szCs w:val="18"/>
        </w:rPr>
      </w:pPr>
      <w:r>
        <w:rPr>
          <w:rFonts w:hint="eastAsia" w:ascii="宋体" w:hAnsi="宋体" w:eastAsia="宋体"/>
          <w:bCs/>
          <w:sz w:val="24"/>
          <w:szCs w:val="18"/>
        </w:rPr>
        <w:t xml:space="preserve">3、保证所铺设的线路能兼容现有（或以后继续使用）网络的可利用性； </w:t>
      </w:r>
    </w:p>
    <w:p>
      <w:pPr>
        <w:spacing w:line="360" w:lineRule="auto"/>
        <w:ind w:firstLine="437"/>
        <w:rPr>
          <w:rFonts w:ascii="宋体" w:hAnsi="宋体" w:eastAsia="宋体"/>
          <w:bCs/>
          <w:sz w:val="24"/>
          <w:szCs w:val="18"/>
        </w:rPr>
      </w:pPr>
      <w:r>
        <w:rPr>
          <w:rFonts w:hint="eastAsia" w:ascii="宋体" w:hAnsi="宋体" w:eastAsia="宋体"/>
          <w:bCs/>
          <w:sz w:val="24"/>
          <w:szCs w:val="18"/>
        </w:rPr>
        <w:t xml:space="preserve">4、在服务期间，须备有专业技术人员及相关负责人与采购人保持密切联系以优化网络性能和安全； </w:t>
      </w:r>
    </w:p>
    <w:p>
      <w:pPr>
        <w:spacing w:line="360" w:lineRule="auto"/>
        <w:ind w:firstLine="437"/>
        <w:rPr>
          <w:rFonts w:ascii="宋体" w:hAnsi="宋体" w:eastAsia="宋体"/>
          <w:bCs/>
          <w:sz w:val="24"/>
          <w:szCs w:val="18"/>
        </w:rPr>
      </w:pPr>
      <w:r>
        <w:rPr>
          <w:rFonts w:hint="eastAsia" w:ascii="宋体" w:hAnsi="宋体" w:eastAsia="宋体"/>
          <w:bCs/>
          <w:sz w:val="24"/>
          <w:szCs w:val="18"/>
        </w:rPr>
        <w:t xml:space="preserve">5、链路中断修复时间：除因不可抗力导致链路中断以外，光纤问题应在8小时内修复（因市政工程破坏24小时），用户节点到光纤收发器端口的设备故障（6小时内）每月平均修复及时率≥95%； </w:t>
      </w:r>
    </w:p>
    <w:p>
      <w:pPr>
        <w:spacing w:line="360" w:lineRule="auto"/>
        <w:ind w:firstLine="437"/>
        <w:rPr>
          <w:rFonts w:ascii="宋体" w:hAnsi="宋体" w:eastAsia="宋体"/>
          <w:b/>
          <w:sz w:val="24"/>
          <w:szCs w:val="18"/>
        </w:rPr>
      </w:pPr>
      <w:r>
        <w:rPr>
          <w:rFonts w:hint="eastAsia" w:ascii="宋体" w:hAnsi="宋体" w:eastAsia="宋体"/>
          <w:b/>
          <w:sz w:val="24"/>
          <w:szCs w:val="18"/>
        </w:rPr>
        <w:t>技术要求：</w:t>
      </w:r>
    </w:p>
    <w:p>
      <w:pPr>
        <w:spacing w:line="360" w:lineRule="auto"/>
        <w:ind w:firstLine="437"/>
        <w:rPr>
          <w:rFonts w:ascii="宋体" w:hAnsi="宋体" w:eastAsia="宋体"/>
          <w:bCs/>
          <w:sz w:val="24"/>
          <w:szCs w:val="18"/>
        </w:rPr>
      </w:pPr>
      <w:r>
        <w:rPr>
          <w:rFonts w:hint="eastAsia" w:ascii="宋体" w:hAnsi="宋体" w:eastAsia="宋体"/>
          <w:bCs/>
          <w:sz w:val="24"/>
          <w:szCs w:val="18"/>
        </w:rPr>
        <w:t>1、一条带宽1Gbps互联网专线，上下行带宽对等；</w:t>
      </w:r>
    </w:p>
    <w:p>
      <w:pPr>
        <w:spacing w:line="360" w:lineRule="auto"/>
        <w:ind w:firstLine="437"/>
        <w:rPr>
          <w:rFonts w:ascii="宋体" w:hAnsi="宋体" w:eastAsia="宋体"/>
          <w:bCs/>
          <w:sz w:val="24"/>
          <w:szCs w:val="18"/>
        </w:rPr>
      </w:pPr>
      <w:r>
        <w:rPr>
          <w:rFonts w:hint="eastAsia" w:ascii="宋体" w:hAnsi="宋体" w:eastAsia="宋体"/>
          <w:bCs/>
          <w:sz w:val="24"/>
          <w:szCs w:val="18"/>
        </w:rPr>
        <w:t>2、接入方式：单模光纤接入，按客户要求地点接入；</w:t>
      </w:r>
    </w:p>
    <w:p>
      <w:pPr>
        <w:spacing w:line="360" w:lineRule="auto"/>
        <w:ind w:firstLine="437"/>
        <w:rPr>
          <w:rFonts w:ascii="宋体" w:hAnsi="宋体" w:eastAsia="宋体"/>
          <w:bCs/>
          <w:sz w:val="24"/>
          <w:szCs w:val="18"/>
        </w:rPr>
      </w:pPr>
      <w:r>
        <w:rPr>
          <w:rFonts w:hint="eastAsia" w:ascii="宋体" w:hAnsi="宋体" w:eastAsia="宋体"/>
          <w:bCs/>
          <w:sz w:val="24"/>
          <w:szCs w:val="18"/>
        </w:rPr>
        <w:t>3、每条链路提供8个公网固定IP地址；</w:t>
      </w:r>
    </w:p>
    <w:p>
      <w:pPr>
        <w:spacing w:line="360" w:lineRule="auto"/>
        <w:ind w:firstLine="437"/>
        <w:rPr>
          <w:rFonts w:ascii="宋体" w:hAnsi="宋体" w:eastAsia="宋体"/>
          <w:bCs/>
          <w:sz w:val="24"/>
          <w:szCs w:val="18"/>
        </w:rPr>
      </w:pPr>
      <w:r>
        <w:rPr>
          <w:rFonts w:hint="eastAsia" w:ascii="宋体" w:hAnsi="宋体" w:eastAsia="宋体"/>
          <w:bCs/>
          <w:sz w:val="24"/>
          <w:szCs w:val="18"/>
        </w:rPr>
        <w:t>4、独享带宽，不得与其他接入用户共享线路及带宽资源；</w:t>
      </w:r>
    </w:p>
    <w:p>
      <w:pPr>
        <w:spacing w:line="360" w:lineRule="auto"/>
        <w:ind w:firstLine="437"/>
        <w:rPr>
          <w:rFonts w:ascii="宋体" w:hAnsi="宋体" w:eastAsia="宋体"/>
          <w:bCs/>
          <w:sz w:val="24"/>
          <w:szCs w:val="18"/>
        </w:rPr>
      </w:pPr>
      <w:r>
        <w:rPr>
          <w:rFonts w:hint="eastAsia" w:ascii="宋体" w:hAnsi="宋体" w:eastAsia="宋体"/>
          <w:bCs/>
          <w:sz w:val="24"/>
          <w:szCs w:val="18"/>
        </w:rPr>
        <w:t>5、每条互联网专线到运营商接入点的路由跳线数不得大于3跳；</w:t>
      </w:r>
    </w:p>
    <w:p>
      <w:pPr>
        <w:spacing w:line="360" w:lineRule="auto"/>
        <w:ind w:firstLine="437"/>
        <w:rPr>
          <w:rFonts w:ascii="宋体" w:hAnsi="宋体" w:eastAsia="宋体"/>
          <w:bCs/>
          <w:sz w:val="24"/>
          <w:szCs w:val="18"/>
        </w:rPr>
      </w:pPr>
      <w:r>
        <w:rPr>
          <w:rFonts w:hint="eastAsia" w:ascii="宋体" w:hAnsi="宋体" w:eastAsia="宋体"/>
          <w:bCs/>
          <w:sz w:val="24"/>
          <w:szCs w:val="18"/>
        </w:rPr>
        <w:t>6、具有良好的扩展性和可升级性，确保满足将来因业务发展而产生的升级扩展需求。</w:t>
      </w:r>
    </w:p>
    <w:p>
      <w:pPr>
        <w:spacing w:line="360" w:lineRule="auto"/>
        <w:ind w:firstLine="437"/>
        <w:outlineLvl w:val="1"/>
        <w:rPr>
          <w:rFonts w:ascii="宋体" w:hAnsi="宋体" w:eastAsia="宋体"/>
          <w:b/>
          <w:sz w:val="24"/>
          <w:szCs w:val="18"/>
        </w:rPr>
      </w:pPr>
      <w:r>
        <w:rPr>
          <w:rFonts w:hint="eastAsia" w:ascii="宋体" w:hAnsi="宋体" w:eastAsia="宋体"/>
          <w:b/>
          <w:sz w:val="24"/>
          <w:szCs w:val="18"/>
        </w:rPr>
        <w:t>四、报价要求</w:t>
      </w:r>
    </w:p>
    <w:p>
      <w:pPr>
        <w:spacing w:line="360" w:lineRule="auto"/>
        <w:ind w:firstLine="437"/>
        <w:rPr>
          <w:rFonts w:ascii="宋体" w:hAnsi="宋体" w:eastAsia="宋体"/>
          <w:b/>
          <w:sz w:val="24"/>
          <w:szCs w:val="18"/>
        </w:rPr>
      </w:pPr>
      <w:r>
        <w:rPr>
          <w:rFonts w:hint="eastAsia" w:ascii="宋体" w:hAnsi="宋体" w:eastAsia="宋体"/>
          <w:bCs/>
          <w:sz w:val="24"/>
          <w:szCs w:val="18"/>
        </w:rPr>
        <w:t>本项目为报总价，报价须包含完成本项目所需的一切费用。</w:t>
      </w:r>
    </w:p>
    <w:p>
      <w:pPr>
        <w:spacing w:line="360" w:lineRule="auto"/>
        <w:ind w:firstLine="437"/>
        <w:outlineLvl w:val="1"/>
        <w:rPr>
          <w:rFonts w:ascii="宋体" w:hAnsi="宋体" w:eastAsia="宋体"/>
          <w:b/>
          <w:sz w:val="24"/>
          <w:szCs w:val="18"/>
        </w:rPr>
      </w:pPr>
      <w:r>
        <w:rPr>
          <w:rFonts w:hint="eastAsia" w:ascii="宋体" w:hAnsi="宋体" w:eastAsia="宋体"/>
          <w:b/>
          <w:sz w:val="24"/>
          <w:szCs w:val="18"/>
        </w:rPr>
        <w:t>五、</w:t>
      </w:r>
      <w:bookmarkEnd w:id="0"/>
      <w:bookmarkEnd w:id="1"/>
      <w:r>
        <w:rPr>
          <w:rFonts w:hint="eastAsia" w:ascii="宋体" w:hAnsi="宋体" w:eastAsia="宋体"/>
          <w:b/>
          <w:sz w:val="24"/>
          <w:szCs w:val="18"/>
        </w:rPr>
        <w:t>安装调试、验收试验及质量保证</w:t>
      </w:r>
    </w:p>
    <w:p>
      <w:pPr>
        <w:spacing w:line="360" w:lineRule="auto"/>
        <w:ind w:firstLine="437"/>
        <w:rPr>
          <w:rFonts w:ascii="宋体" w:hAnsi="宋体" w:eastAsia="宋体"/>
          <w:bCs/>
          <w:sz w:val="24"/>
          <w:szCs w:val="18"/>
        </w:rPr>
      </w:pPr>
      <w:bookmarkStart w:id="2" w:name="_Toc24254"/>
      <w:r>
        <w:rPr>
          <w:rFonts w:hint="eastAsia" w:ascii="宋体" w:hAnsi="宋体" w:eastAsia="宋体"/>
          <w:bCs/>
          <w:sz w:val="24"/>
          <w:szCs w:val="18"/>
        </w:rPr>
        <w:t>1、中标人负责在设备安装地点负责(指导)安装调试。</w:t>
      </w:r>
    </w:p>
    <w:p>
      <w:pPr>
        <w:spacing w:line="360" w:lineRule="auto"/>
        <w:ind w:firstLine="437"/>
      </w:pPr>
      <w:r>
        <w:rPr>
          <w:rFonts w:hint="eastAsia" w:ascii="宋体" w:hAnsi="宋体" w:eastAsia="宋体"/>
          <w:bCs/>
          <w:sz w:val="24"/>
          <w:szCs w:val="18"/>
        </w:rPr>
        <w:t>2、具体验收标准和程序按采购人要求执行。</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xNThjNTg4YmE3MWYzZTg0N2M0ZTlmMDZjMmZlMjQifQ=="/>
  </w:docVars>
  <w:rsids>
    <w:rsidRoot w:val="1A2213BD"/>
    <w:rsid w:val="04340C06"/>
    <w:rsid w:val="05470653"/>
    <w:rsid w:val="08D54135"/>
    <w:rsid w:val="08FC2C62"/>
    <w:rsid w:val="09083E2D"/>
    <w:rsid w:val="0BA916F2"/>
    <w:rsid w:val="0CF8760D"/>
    <w:rsid w:val="0FB03480"/>
    <w:rsid w:val="12D55AEB"/>
    <w:rsid w:val="19DD209C"/>
    <w:rsid w:val="1A2213BD"/>
    <w:rsid w:val="1E046ABA"/>
    <w:rsid w:val="1EE05BAB"/>
    <w:rsid w:val="1FE60D56"/>
    <w:rsid w:val="225F4C6E"/>
    <w:rsid w:val="258575AF"/>
    <w:rsid w:val="2C12790D"/>
    <w:rsid w:val="2EA44CCB"/>
    <w:rsid w:val="3265385D"/>
    <w:rsid w:val="3339352B"/>
    <w:rsid w:val="376B527C"/>
    <w:rsid w:val="397B580B"/>
    <w:rsid w:val="3C0F442A"/>
    <w:rsid w:val="3C395F2E"/>
    <w:rsid w:val="46D17601"/>
    <w:rsid w:val="497C3AF8"/>
    <w:rsid w:val="4AD01991"/>
    <w:rsid w:val="4BE46262"/>
    <w:rsid w:val="4F317905"/>
    <w:rsid w:val="58543AB8"/>
    <w:rsid w:val="5C153640"/>
    <w:rsid w:val="5E024243"/>
    <w:rsid w:val="5E0571FA"/>
    <w:rsid w:val="5E114ABD"/>
    <w:rsid w:val="5F000AFC"/>
    <w:rsid w:val="63D95E2A"/>
    <w:rsid w:val="6501173D"/>
    <w:rsid w:val="68E00625"/>
    <w:rsid w:val="6B816306"/>
    <w:rsid w:val="6F864C1F"/>
    <w:rsid w:val="780E20D9"/>
    <w:rsid w:val="78506858"/>
    <w:rsid w:val="7CAA0F23"/>
    <w:rsid w:val="7F845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9"/>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autoRedefine/>
    <w:qFormat/>
    <w:uiPriority w:val="0"/>
    <w:pPr>
      <w:keepNext/>
      <w:keepLines/>
      <w:spacing w:before="260" w:after="260" w:line="416" w:lineRule="auto"/>
      <w:jc w:val="center"/>
      <w:outlineLvl w:val="2"/>
    </w:pPr>
    <w:rPr>
      <w:rFonts w:ascii="宋体"/>
      <w:b/>
      <w:bCs/>
      <w:sz w:val="32"/>
      <w:szCs w:val="32"/>
    </w:rPr>
  </w:style>
  <w:style w:type="paragraph" w:styleId="5">
    <w:name w:val="heading 4"/>
    <w:basedOn w:val="1"/>
    <w:next w:val="1"/>
    <w:autoRedefine/>
    <w:qFormat/>
    <w:uiPriority w:val="0"/>
    <w:pPr>
      <w:keepNext/>
      <w:keepLines/>
      <w:spacing w:before="280" w:after="290" w:line="376" w:lineRule="auto"/>
      <w:outlineLvl w:val="3"/>
    </w:pPr>
    <w:rPr>
      <w:b/>
      <w:bCs/>
      <w:sz w:val="28"/>
      <w:szCs w:val="28"/>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6">
    <w:name w:val="annotation text"/>
    <w:basedOn w:val="1"/>
    <w:autoRedefine/>
    <w:qFormat/>
    <w:uiPriority w:val="0"/>
    <w:pPr>
      <w:jc w:val="left"/>
    </w:pPr>
    <w:rPr>
      <w:rFonts w:ascii="Arial" w:hAnsi="Arial" w:eastAsia="黑体" w:cs="Arial"/>
    </w:rPr>
  </w:style>
  <w:style w:type="paragraph" w:styleId="7">
    <w:name w:val="Body Text"/>
    <w:basedOn w:val="1"/>
    <w:autoRedefine/>
    <w:qFormat/>
    <w:uiPriority w:val="0"/>
    <w:pPr>
      <w:spacing w:after="120"/>
    </w:pPr>
    <w:rPr>
      <w:rFonts w:ascii="@微软简标宋" w:hAnsi="@微软简标宋" w:eastAsia="@微软简标宋" w:cs="@微软简标宋"/>
      <w:szCs w:val="24"/>
      <w:lang w:val="zh-CN"/>
    </w:rPr>
  </w:style>
  <w:style w:type="paragraph" w:styleId="8">
    <w:name w:val="Body Text Indent"/>
    <w:basedOn w:val="1"/>
    <w:next w:val="9"/>
    <w:autoRedefine/>
    <w:qFormat/>
    <w:uiPriority w:val="0"/>
    <w:pPr>
      <w:spacing w:after="120"/>
      <w:ind w:left="420" w:leftChars="200"/>
    </w:pPr>
  </w:style>
  <w:style w:type="paragraph" w:styleId="9">
    <w:name w:val="envelope return"/>
    <w:basedOn w:val="1"/>
    <w:autoRedefine/>
    <w:qFormat/>
    <w:uiPriority w:val="0"/>
    <w:pPr>
      <w:snapToGrid w:val="0"/>
    </w:pPr>
    <w:rPr>
      <w:rFonts w:ascii="Arial" w:hAnsi="Arial"/>
    </w:rPr>
  </w:style>
  <w:style w:type="paragraph" w:styleId="10">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2">
    <w:name w:val="Body Text First Indent 2"/>
    <w:basedOn w:val="8"/>
    <w:next w:val="1"/>
    <w:autoRedefine/>
    <w:qFormat/>
    <w:uiPriority w:val="0"/>
    <w:pPr>
      <w:ind w:firstLine="420" w:firstLineChars="200"/>
    </w:pPr>
  </w:style>
  <w:style w:type="table" w:styleId="14">
    <w:name w:val="Table Grid"/>
    <w:basedOn w:val="13"/>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autoRedefine/>
    <w:unhideWhenUsed/>
    <w:qFormat/>
    <w:uiPriority w:val="99"/>
    <w:rPr>
      <w:color w:val="0563C1" w:themeColor="hyperlink"/>
      <w:u w:val="single"/>
      <w14:textFill>
        <w14:solidFill>
          <w14:schemeClr w14:val="hlink"/>
        </w14:solidFill>
      </w14:textFill>
    </w:rPr>
  </w:style>
  <w:style w:type="paragraph" w:styleId="17">
    <w:name w:val="Quote"/>
    <w:basedOn w:val="1"/>
    <w:next w:val="1"/>
    <w:autoRedefine/>
    <w:qFormat/>
    <w:uiPriority w:val="0"/>
    <w:pPr>
      <w:wordWrap w:val="0"/>
      <w:spacing w:before="200" w:after="160"/>
      <w:ind w:left="864" w:right="864"/>
      <w:jc w:val="center"/>
    </w:pPr>
    <w:rPr>
      <w:i/>
      <w:sz w:val="21"/>
    </w:rPr>
  </w:style>
  <w:style w:type="paragraph" w:customStyle="1" w:styleId="18">
    <w:name w:val="D&amp;L"/>
    <w:basedOn w:val="10"/>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9">
    <w:name w:val="xl31"/>
    <w:basedOn w:val="1"/>
    <w:autoRedefine/>
    <w:qFormat/>
    <w:uiPriority w:val="0"/>
    <w:pPr>
      <w:widowControl/>
      <w:spacing w:before="100" w:beforeAutospacing="1" w:after="100" w:afterAutospacing="1"/>
      <w:jc w:val="center"/>
    </w:pPr>
    <w:rPr>
      <w:b/>
      <w:bCs/>
      <w:kern w:val="0"/>
      <w:sz w:val="28"/>
      <w:szCs w:val="28"/>
    </w:rPr>
  </w:style>
  <w:style w:type="character" w:customStyle="1" w:styleId="20">
    <w:name w:val="font41"/>
    <w:basedOn w:val="15"/>
    <w:autoRedefine/>
    <w:qFormat/>
    <w:uiPriority w:val="0"/>
    <w:rPr>
      <w:rFonts w:hint="eastAsia" w:ascii="宋体" w:hAnsi="宋体" w:eastAsia="宋体" w:cs="宋体"/>
      <w:b/>
      <w:bCs/>
      <w:color w:val="000000"/>
      <w:sz w:val="22"/>
      <w:szCs w:val="22"/>
      <w:u w:val="none"/>
    </w:rPr>
  </w:style>
  <w:style w:type="character" w:customStyle="1" w:styleId="21">
    <w:name w:val="font11"/>
    <w:basedOn w:val="15"/>
    <w:autoRedefine/>
    <w:qFormat/>
    <w:uiPriority w:val="0"/>
    <w:rPr>
      <w:rFonts w:ascii="黑体" w:hAnsi="宋体" w:eastAsia="黑体" w:cs="黑体"/>
      <w:b/>
      <w:bCs/>
      <w:color w:val="000000"/>
      <w:sz w:val="18"/>
      <w:szCs w:val="18"/>
      <w:u w:val="none"/>
    </w:rPr>
  </w:style>
  <w:style w:type="paragraph" w:styleId="22">
    <w:name w:val="List Paragraph"/>
    <w:basedOn w:val="1"/>
    <w:autoRedefine/>
    <w:qFormat/>
    <w:uiPriority w:val="34"/>
    <w:pPr>
      <w:ind w:firstLine="420" w:firstLineChars="200"/>
    </w:pPr>
  </w:style>
  <w:style w:type="paragraph" w:customStyle="1" w:styleId="23">
    <w:name w:val="0-0.正文格式"/>
    <w:basedOn w:val="1"/>
    <w:autoRedefine/>
    <w:qFormat/>
    <w:uiPriority w:val="0"/>
    <w:pPr>
      <w:autoSpaceDE w:val="0"/>
      <w:autoSpaceDN w:val="0"/>
      <w:ind w:firstLine="480"/>
      <w:jc w:val="left"/>
    </w:pPr>
    <w:rPr>
      <w:rFonts w:ascii="宋体" w:hAnsi="宋体"/>
      <w:kern w:val="0"/>
      <w:sz w:val="22"/>
      <w:szCs w:val="24"/>
      <w:lang w:eastAsia="en-US"/>
    </w:rPr>
  </w:style>
  <w:style w:type="paragraph" w:customStyle="1" w:styleId="24">
    <w:name w:val="FC正文"/>
    <w:basedOn w:val="1"/>
    <w:autoRedefine/>
    <w:qFormat/>
    <w:uiPriority w:val="0"/>
    <w:pPr>
      <w:widowControl/>
      <w:snapToGrid w:val="0"/>
      <w:spacing w:before="50" w:beforeLines="50" w:after="50" w:afterLines="50" w:line="360" w:lineRule="auto"/>
      <w:ind w:firstLine="200" w:firstLineChars="200"/>
      <w:contextualSpacing/>
    </w:pPr>
    <w:rPr>
      <w:rFonts w:asciiTheme="minorHAnsi" w:hAnsiTheme="minorHAnsi" w:eastAsiaTheme="minorEastAsia" w:cstheme="minorBidi"/>
      <w:kern w:val="0"/>
      <w:sz w:val="24"/>
      <w:szCs w:val="21"/>
      <w:lang w:val="zh-CN"/>
    </w:rPr>
  </w:style>
  <w:style w:type="paragraph" w:customStyle="1" w:styleId="25">
    <w:name w:val="表格内容"/>
    <w:basedOn w:val="1"/>
    <w:next w:val="1"/>
    <w:autoRedefine/>
    <w:qFormat/>
    <w:uiPriority w:val="99"/>
    <w:pPr>
      <w:spacing w:line="340" w:lineRule="exact"/>
      <w:ind w:firstLine="0" w:firstLineChars="0"/>
    </w:pPr>
    <w:rPr>
      <w:rFonts w:cs="宋体"/>
      <w:szCs w:val="24"/>
    </w:rPr>
  </w:style>
  <w:style w:type="paragraph" w:customStyle="1" w:styleId="26">
    <w:name w:val="Default"/>
    <w:autoRedefine/>
    <w:qFormat/>
    <w:uiPriority w:val="0"/>
    <w:pPr>
      <w:widowControl w:val="0"/>
      <w:autoSpaceDE w:val="0"/>
      <w:autoSpaceDN w:val="0"/>
      <w:adjustRightInd w:val="0"/>
    </w:pPr>
    <w:rPr>
      <w:rFonts w:ascii="宋体" w:hAnsi="Calibri" w:eastAsia="宋体" w:cs="Times New Roman"/>
      <w:color w:val="000000"/>
      <w:sz w:val="24"/>
      <w:szCs w:val="22"/>
      <w:lang w:val="en-US" w:eastAsia="zh-CN" w:bidi="ar-SA"/>
    </w:rPr>
  </w:style>
  <w:style w:type="table" w:customStyle="1" w:styleId="27">
    <w:name w:val="Table"/>
    <w:autoRedefine/>
    <w:semiHidden/>
    <w:unhideWhenUsed/>
    <w:qFormat/>
    <w:uiPriority w:val="0"/>
    <w:pPr>
      <w:spacing w:after="200"/>
    </w:pPr>
    <w:rPr>
      <w:rFonts w:asciiTheme="minorHAnsi" w:hAnsiTheme="minorHAnsi" w:eastAsiaTheme="minorEastAsia" w:cstheme="minorBidi"/>
      <w:sz w:val="24"/>
      <w:szCs w:val="24"/>
      <w:lang w:eastAsia="en-US"/>
    </w:rPr>
    <w:tblPr>
      <w:tblCellMar>
        <w:top w:w="0" w:type="dxa"/>
        <w:left w:w="108" w:type="dxa"/>
        <w:bottom w:w="0" w:type="dxa"/>
        <w:right w:w="108" w:type="dxa"/>
      </w:tblCellMar>
    </w:tblPr>
    <w:tblStylePr w:type="firstRow">
      <w:tcPr>
        <w:tcBorders>
          <w:bottom w:val="single" w:color="auto" w:sz="0" w:space="0"/>
        </w:tcBorders>
        <w:vAlign w:val="bottom"/>
      </w:tcPr>
    </w:tblStyle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2024-02-08T01:32:00Z</dcterms:created>
  <dc:creator>admin</dc:creator>
  <cp:lastModifiedBy>吴瑞</cp:lastModifiedBy>
  <dcterms:modified xsi:type="dcterms:W3CDTF">2024-09-02T09:18:05Z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B8C302DD47744F3DB9026294BF90D34D_12</vt:lpwstr>
  </property>
</Properties>
</file>