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eastAsia" w:asciiTheme="minorEastAsia" w:hAnsiTheme="minorEastAsia" w:eastAsiaTheme="minorEastAsia" w:cs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6"/>
        </w:rPr>
        <w:t>采购需求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</w:p>
    <w:p>
      <w:pPr>
        <w:spacing w:line="360" w:lineRule="auto"/>
        <w:jc w:val="center"/>
        <w:outlineLvl w:val="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（仅供参考，最终以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采购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文件为准）</w:t>
      </w:r>
    </w:p>
    <w:p>
      <w:pPr>
        <w:spacing w:line="360" w:lineRule="auto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前注：</w:t>
      </w:r>
    </w:p>
    <w:p>
      <w:pPr>
        <w:spacing w:line="360" w:lineRule="auto"/>
        <w:ind w:firstLine="435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1.</w:t>
      </w:r>
      <w:r>
        <w:rPr>
          <w:rFonts w:asciiTheme="minorEastAsia" w:hAnsiTheme="minorEastAsia" w:eastAsiaTheme="minorEastAsia"/>
          <w:sz w:val="24"/>
        </w:rPr>
        <w:t>本采购需求中提出的服务方案仅为参考，如无明确限制，</w:t>
      </w:r>
      <w:r>
        <w:rPr>
          <w:rFonts w:hint="eastAsia" w:asciiTheme="minorEastAsia" w:hAnsiTheme="minorEastAsia" w:eastAsiaTheme="minorEastAsia"/>
          <w:sz w:val="24"/>
        </w:rPr>
        <w:t>供应商</w:t>
      </w:r>
      <w:r>
        <w:rPr>
          <w:rFonts w:asciiTheme="minorEastAsia" w:hAnsiTheme="minorEastAsia" w:eastAsiaTheme="minorEastAsia"/>
          <w:sz w:val="24"/>
        </w:rPr>
        <w:t>可以进行优化，提供满足采购人实际需要的更优（或者性能实质上不低于的）服务方案，且此方案须经</w:t>
      </w:r>
      <w:r>
        <w:rPr>
          <w:rFonts w:hint="eastAsia" w:asciiTheme="minorEastAsia" w:hAnsiTheme="minorEastAsia" w:eastAsiaTheme="minorEastAsia"/>
          <w:sz w:val="24"/>
        </w:rPr>
        <w:t>采购小组</w:t>
      </w:r>
      <w:r>
        <w:rPr>
          <w:rFonts w:asciiTheme="minorEastAsia" w:hAnsiTheme="minorEastAsia" w:eastAsiaTheme="minorEastAsia"/>
          <w:sz w:val="24"/>
        </w:rPr>
        <w:t>评审认可</w:t>
      </w:r>
      <w:r>
        <w:rPr>
          <w:rFonts w:hint="eastAsia" w:asciiTheme="minorEastAsia" w:hAnsiTheme="minorEastAsia" w:eastAsiaTheme="minorEastAsia"/>
          <w:sz w:val="24"/>
        </w:rPr>
        <w:t>。</w:t>
      </w:r>
    </w:p>
    <w:p>
      <w:pPr>
        <w:spacing w:line="360" w:lineRule="auto"/>
        <w:ind w:firstLine="435"/>
        <w:rPr>
          <w:rFonts w:asciiTheme="minorEastAsia" w:hAnsiTheme="minorEastAsia" w:eastAsiaTheme="minorEastAsia"/>
          <w:sz w:val="24"/>
          <w:szCs w:val="18"/>
        </w:rPr>
      </w:pPr>
      <w:r>
        <w:rPr>
          <w:rFonts w:hint="eastAsia" w:asciiTheme="minorEastAsia" w:hAnsiTheme="minorEastAsia" w:eastAsiaTheme="minorEastAsia"/>
          <w:sz w:val="24"/>
          <w:szCs w:val="18"/>
        </w:rPr>
        <w:t>2.</w:t>
      </w:r>
      <w:r>
        <w:rPr>
          <w:rFonts w:hint="eastAsia" w:ascii="宋体" w:hAnsi="宋体" w:eastAsia="宋体"/>
          <w:sz w:val="24"/>
          <w:szCs w:val="18"/>
        </w:rPr>
        <w:t>如采购人允许采用分包方式履行合同的，应当明确可以分包履行的相关内容。</w:t>
      </w:r>
    </w:p>
    <w:p>
      <w:pPr>
        <w:spacing w:line="360" w:lineRule="auto"/>
        <w:ind w:firstLine="435"/>
        <w:outlineLvl w:val="1"/>
        <w:rPr>
          <w:rFonts w:asciiTheme="minorEastAsia" w:hAnsiTheme="minorEastAsia" w:eastAsiaTheme="minorEastAsia"/>
          <w:b/>
          <w:sz w:val="24"/>
          <w:szCs w:val="18"/>
        </w:rPr>
      </w:pPr>
      <w:bookmarkStart w:id="0" w:name="_Hlk16461016"/>
      <w:r>
        <w:rPr>
          <w:rFonts w:hint="eastAsia" w:asciiTheme="minorEastAsia" w:hAnsiTheme="minorEastAsia" w:eastAsiaTheme="minorEastAsia"/>
          <w:b/>
          <w:sz w:val="24"/>
          <w:szCs w:val="18"/>
        </w:rPr>
        <w:t>一、采购需求前附表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2032"/>
        <w:gridCol w:w="54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sz w:val="24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18"/>
              </w:rPr>
              <w:t>序号</w:t>
            </w:r>
          </w:p>
        </w:tc>
        <w:tc>
          <w:tcPr>
            <w:tcW w:w="1192" w:type="pc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sz w:val="24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18"/>
              </w:rPr>
              <w:t>条款名称</w:t>
            </w:r>
          </w:p>
        </w:tc>
        <w:tc>
          <w:tcPr>
            <w:tcW w:w="3216" w:type="pc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sz w:val="24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18"/>
              </w:rPr>
              <w:t>内容、说明与要求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4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</w:rPr>
              <w:t>1</w:t>
            </w:r>
          </w:p>
        </w:tc>
        <w:tc>
          <w:tcPr>
            <w:tcW w:w="1192" w:type="pc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4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</w:rPr>
              <w:t>付款方式</w:t>
            </w:r>
          </w:p>
        </w:tc>
        <w:tc>
          <w:tcPr>
            <w:tcW w:w="3216" w:type="pct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bCs/>
                <w:sz w:val="24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</w:rPr>
              <w:t xml:space="preserve">服务开通，验收合格后一次性付款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4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</w:rPr>
              <w:t>2</w:t>
            </w:r>
          </w:p>
        </w:tc>
        <w:tc>
          <w:tcPr>
            <w:tcW w:w="1192" w:type="pc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4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</w:rPr>
              <w:t>服务地点</w:t>
            </w:r>
          </w:p>
        </w:tc>
        <w:tc>
          <w:tcPr>
            <w:tcW w:w="3216" w:type="pct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bCs/>
                <w:sz w:val="24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</w:rPr>
              <w:t xml:space="preserve">安徽艺术职业学院，采购人指定地点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4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</w:rPr>
              <w:t>3</w:t>
            </w:r>
          </w:p>
        </w:tc>
        <w:tc>
          <w:tcPr>
            <w:tcW w:w="1192" w:type="pc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4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</w:rPr>
              <w:t>服务期限</w:t>
            </w:r>
          </w:p>
        </w:tc>
        <w:tc>
          <w:tcPr>
            <w:tcW w:w="3216" w:type="pct"/>
            <w:vAlign w:val="center"/>
          </w:tcPr>
          <w:p>
            <w:pPr>
              <w:pStyle w:val="7"/>
              <w:spacing w:line="360" w:lineRule="auto"/>
              <w:rPr>
                <w:rFonts w:asciiTheme="minorEastAsia" w:hAnsiTheme="minorEastAsia" w:eastAsiaTheme="minorEastAsia"/>
                <w:bCs/>
                <w:sz w:val="24"/>
                <w:szCs w:val="18"/>
                <w:u w:val="single"/>
              </w:rPr>
            </w:pPr>
            <w:r>
              <w:rPr>
                <w:rFonts w:hint="eastAsia" w:ascii="宋体" w:hAnsi="宋体" w:eastAsia="宋体"/>
                <w:sz w:val="24"/>
              </w:rPr>
              <w:t>合同签订后30天内完成线路的施工、调试、达到试运行后，服务期限一年。服务期结束，成交供应商履约良好且年度预算能保障的前提下，经双方同意可续签下一年度合同，合同一年一签，最多续签2次，合同金额不变。</w:t>
            </w:r>
          </w:p>
        </w:tc>
      </w:tr>
    </w:tbl>
    <w:p>
      <w:pPr>
        <w:spacing w:line="360" w:lineRule="auto"/>
        <w:ind w:firstLine="435"/>
        <w:outlineLvl w:val="1"/>
        <w:rPr>
          <w:rFonts w:asciiTheme="minorEastAsia" w:hAnsiTheme="minorEastAsia" w:eastAsiaTheme="minorEastAsia"/>
          <w:b/>
          <w:sz w:val="24"/>
          <w:szCs w:val="18"/>
        </w:rPr>
      </w:pPr>
      <w:r>
        <w:rPr>
          <w:rFonts w:hint="eastAsia" w:asciiTheme="minorEastAsia" w:hAnsiTheme="minorEastAsia" w:eastAsiaTheme="minorEastAsia"/>
          <w:b/>
          <w:sz w:val="24"/>
          <w:szCs w:val="18"/>
        </w:rPr>
        <w:t>二、项目概况</w:t>
      </w:r>
    </w:p>
    <w:p>
      <w:pPr>
        <w:spacing w:line="360" w:lineRule="auto"/>
        <w:ind w:firstLine="435"/>
        <w:rPr>
          <w:rFonts w:asciiTheme="minorEastAsia" w:hAnsiTheme="minorEastAsia" w:eastAsiaTheme="minorEastAsia"/>
          <w:b/>
          <w:sz w:val="24"/>
          <w:szCs w:val="18"/>
        </w:rPr>
      </w:pPr>
      <w:r>
        <w:rPr>
          <w:rFonts w:hint="eastAsia" w:ascii="宋体" w:hAnsi="宋体" w:eastAsia="宋体"/>
          <w:bCs/>
          <w:kern w:val="0"/>
          <w:sz w:val="24"/>
          <w:szCs w:val="28"/>
        </w:rPr>
        <w:t>安徽艺术职业学院坚持以人为本，以质立校，坚定不移走高质量内涵式发展道路，不断推进学院教育治理能力现代化，深化新时代教育评价改革，切实提高人才培养质量。本次采购三条1Gbps</w:t>
      </w:r>
      <w:r>
        <w:rPr>
          <w:rFonts w:ascii="宋体" w:hAnsi="宋体" w:eastAsia="宋体"/>
          <w:bCs/>
          <w:kern w:val="0"/>
          <w:sz w:val="24"/>
          <w:szCs w:val="28"/>
        </w:rPr>
        <w:t>互联网专线，</w:t>
      </w:r>
      <w:r>
        <w:rPr>
          <w:rFonts w:hint="eastAsia" w:ascii="宋体" w:hAnsi="宋体" w:eastAsia="宋体"/>
          <w:bCs/>
          <w:kern w:val="0"/>
          <w:sz w:val="24"/>
          <w:szCs w:val="28"/>
        </w:rPr>
        <w:t>为</w:t>
      </w:r>
      <w:r>
        <w:rPr>
          <w:rFonts w:ascii="宋体" w:hAnsi="宋体" w:eastAsia="宋体"/>
          <w:bCs/>
          <w:kern w:val="0"/>
          <w:sz w:val="24"/>
          <w:szCs w:val="28"/>
        </w:rPr>
        <w:t>学</w:t>
      </w:r>
      <w:r>
        <w:rPr>
          <w:rFonts w:hint="eastAsia" w:ascii="宋体" w:hAnsi="宋体" w:eastAsia="宋体"/>
          <w:bCs/>
          <w:kern w:val="0"/>
          <w:sz w:val="24"/>
          <w:szCs w:val="28"/>
        </w:rPr>
        <w:t>院</w:t>
      </w:r>
      <w:r>
        <w:rPr>
          <w:rFonts w:ascii="宋体" w:hAnsi="宋体" w:eastAsia="宋体"/>
          <w:bCs/>
          <w:kern w:val="0"/>
          <w:sz w:val="24"/>
          <w:szCs w:val="28"/>
        </w:rPr>
        <w:t>新老校区</w:t>
      </w:r>
      <w:r>
        <w:rPr>
          <w:rFonts w:hint="eastAsia" w:ascii="宋体" w:hAnsi="宋体" w:eastAsia="宋体"/>
          <w:bCs/>
          <w:kern w:val="0"/>
          <w:sz w:val="24"/>
          <w:szCs w:val="28"/>
        </w:rPr>
        <w:t>无线网络访问校外网络资源提供出口带宽</w:t>
      </w:r>
      <w:r>
        <w:rPr>
          <w:rFonts w:ascii="宋体" w:hAnsi="宋体" w:eastAsia="宋体"/>
          <w:bCs/>
          <w:kern w:val="0"/>
          <w:sz w:val="24"/>
          <w:szCs w:val="28"/>
        </w:rPr>
        <w:t>。</w:t>
      </w:r>
    </w:p>
    <w:p>
      <w:pPr>
        <w:spacing w:line="360" w:lineRule="auto"/>
        <w:ind w:firstLine="435"/>
        <w:outlineLvl w:val="1"/>
        <w:rPr>
          <w:rFonts w:asciiTheme="minorEastAsia" w:hAnsiTheme="minorEastAsia" w:eastAsiaTheme="minorEastAsia"/>
          <w:b/>
          <w:sz w:val="24"/>
          <w:szCs w:val="18"/>
        </w:rPr>
      </w:pPr>
      <w:r>
        <w:rPr>
          <w:rFonts w:hint="eastAsia" w:asciiTheme="minorEastAsia" w:hAnsiTheme="minorEastAsia" w:eastAsiaTheme="minorEastAsia"/>
          <w:b/>
          <w:sz w:val="24"/>
          <w:szCs w:val="18"/>
        </w:rPr>
        <w:t>三、服务需求</w:t>
      </w:r>
    </w:p>
    <w:p>
      <w:pPr>
        <w:spacing w:line="360" w:lineRule="auto"/>
        <w:ind w:firstLine="435"/>
        <w:rPr>
          <w:rFonts w:asciiTheme="minorEastAsia" w:hAnsiTheme="minorEastAsia" w:eastAsiaTheme="minorEastAsia"/>
          <w:b/>
          <w:sz w:val="24"/>
          <w:szCs w:val="18"/>
        </w:rPr>
      </w:pPr>
      <w:r>
        <w:rPr>
          <w:rFonts w:hint="eastAsia" w:ascii="宋体" w:hAnsi="宋体" w:eastAsia="宋体"/>
          <w:bCs/>
          <w:kern w:val="0"/>
          <w:sz w:val="24"/>
          <w:szCs w:val="28"/>
        </w:rPr>
        <w:t>供应商提供</w:t>
      </w:r>
      <w:r>
        <w:rPr>
          <w:rFonts w:ascii="宋体" w:hAnsi="宋体" w:eastAsia="宋体"/>
          <w:bCs/>
          <w:kern w:val="0"/>
          <w:sz w:val="24"/>
          <w:szCs w:val="28"/>
        </w:rPr>
        <w:t>3</w:t>
      </w:r>
      <w:r>
        <w:rPr>
          <w:rFonts w:hint="eastAsia" w:ascii="宋体" w:hAnsi="宋体" w:eastAsia="宋体"/>
          <w:bCs/>
          <w:kern w:val="0"/>
          <w:sz w:val="24"/>
          <w:szCs w:val="28"/>
        </w:rPr>
        <w:t>条1Gbps互联网专线，并负责租用电路的工程施工、安装调测、电路故障受理等服务</w:t>
      </w:r>
    </w:p>
    <w:p>
      <w:pPr>
        <w:spacing w:line="360" w:lineRule="auto"/>
        <w:ind w:firstLine="437"/>
        <w:rPr>
          <w:rFonts w:ascii="宋体" w:hAnsi="宋体" w:eastAsia="宋体"/>
          <w:bCs/>
          <w:kern w:val="0"/>
          <w:sz w:val="24"/>
          <w:szCs w:val="28"/>
        </w:rPr>
      </w:pPr>
      <w:r>
        <w:rPr>
          <w:rFonts w:hint="eastAsia" w:ascii="宋体" w:hAnsi="宋体" w:eastAsia="宋体"/>
          <w:bCs/>
          <w:kern w:val="0"/>
          <w:sz w:val="24"/>
          <w:szCs w:val="28"/>
        </w:rPr>
        <w:t>（一）技术总体要求</w:t>
      </w:r>
    </w:p>
    <w:p>
      <w:pPr>
        <w:spacing w:line="360" w:lineRule="auto"/>
        <w:ind w:firstLine="437"/>
        <w:rPr>
          <w:rFonts w:ascii="宋体" w:hAnsi="宋体" w:eastAsia="宋体"/>
          <w:bCs/>
          <w:kern w:val="0"/>
          <w:sz w:val="24"/>
          <w:szCs w:val="28"/>
        </w:rPr>
      </w:pPr>
      <w:r>
        <w:rPr>
          <w:rFonts w:hint="eastAsia" w:ascii="宋体" w:hAnsi="宋体" w:eastAsia="宋体"/>
          <w:bCs/>
          <w:kern w:val="0"/>
          <w:sz w:val="24"/>
          <w:szCs w:val="28"/>
        </w:rPr>
        <w:t>1、供应商在签订合同后根据项目概况和建设需求，提出合理、高效的网络架构方案，经采购人审核确定后才能实施。方案应包括但不限于技术方案、组网建议、设备选型等，保证各站点和中心机房可以正常互联。要求网络架构方案设计高速率、高质量、高可靠性、高安全性、高利用率的组网方案，便于网络运维管理。</w:t>
      </w:r>
    </w:p>
    <w:p>
      <w:pPr>
        <w:spacing w:line="360" w:lineRule="auto"/>
        <w:ind w:firstLine="435"/>
        <w:rPr>
          <w:rFonts w:ascii="宋体" w:hAnsi="宋体" w:eastAsia="宋体"/>
          <w:bCs/>
          <w:kern w:val="0"/>
          <w:sz w:val="24"/>
          <w:szCs w:val="28"/>
        </w:rPr>
      </w:pPr>
      <w:r>
        <w:rPr>
          <w:rFonts w:hint="eastAsia" w:ascii="宋体" w:hAnsi="宋体" w:eastAsia="宋体"/>
          <w:bCs/>
          <w:kern w:val="0"/>
          <w:sz w:val="24"/>
          <w:szCs w:val="28"/>
        </w:rPr>
        <w:t>2、供应商须用拓扑图的形式画出其拟接入链路的骨干网络，说明单点及汇聚后带宽划分情况。要求供应商为本项目提供相应带宽的电路独占上下行恒定速率。</w:t>
      </w:r>
    </w:p>
    <w:p>
      <w:pPr>
        <w:pStyle w:val="2"/>
        <w:rPr>
          <w:lang w:val="en-US"/>
        </w:rPr>
      </w:pPr>
      <w:r>
        <w:rPr>
          <w:rFonts w:hint="eastAsia" w:ascii="宋体" w:hAnsi="宋体" w:eastAsia="宋体"/>
          <w:bCs/>
          <w:kern w:val="0"/>
          <w:sz w:val="24"/>
          <w:szCs w:val="28"/>
        </w:rPr>
        <w:t>（二）参数要求</w:t>
      </w:r>
    </w:p>
    <w:tbl>
      <w:tblPr>
        <w:tblStyle w:val="13"/>
        <w:tblW w:w="4994" w:type="pc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69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61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指标项</w:t>
            </w:r>
          </w:p>
        </w:tc>
        <w:tc>
          <w:tcPr>
            <w:tcW w:w="40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ind w:firstLine="361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接入方式</w:t>
            </w:r>
          </w:p>
        </w:tc>
        <w:tc>
          <w:tcPr>
            <w:tcW w:w="40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采用单模光纤，千兆链路或万兆链路接入方式；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接入地点</w:t>
            </w:r>
          </w:p>
        </w:tc>
        <w:tc>
          <w:tcPr>
            <w:tcW w:w="40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按采购人要求地点接入；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IP地址</w:t>
            </w:r>
          </w:p>
        </w:tc>
        <w:tc>
          <w:tcPr>
            <w:tcW w:w="40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每条链路提供8个公网固定IP地址；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带宽要求</w:t>
            </w:r>
          </w:p>
        </w:tc>
        <w:tc>
          <w:tcPr>
            <w:tcW w:w="40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3条带宽1Gbps互联网专线，上下行带宽对等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，不得与其他接入用户共享线路及带宽资源，要求链路直接接到供应商的城域网骨干节点上，并提供本互联网接入的组网拓扑图；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互联要求</w:t>
            </w:r>
          </w:p>
        </w:tc>
        <w:tc>
          <w:tcPr>
            <w:tcW w:w="40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此条互联网专线到中国移动等接入点的路由跳数不得大于3跳；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链路质量</w:t>
            </w:r>
          </w:p>
        </w:tc>
        <w:tc>
          <w:tcPr>
            <w:tcW w:w="40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学校网络设备端口到供方局端网络设备网络时延≤10ms；从学校网络设备端口到供方局端网络设备网络丢包率≤0.1‰。供应商信道服务质量需满足《电信服务规范》；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服务要求</w:t>
            </w:r>
          </w:p>
        </w:tc>
        <w:tc>
          <w:tcPr>
            <w:tcW w:w="40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运营商需有自主的光纤接入条件及专门的运行维护部门，提供7×24小时的维护和服务，并提供响应时间在2小时内的应急响应服务；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扩展性要求</w:t>
            </w:r>
          </w:p>
        </w:tc>
        <w:tc>
          <w:tcPr>
            <w:tcW w:w="40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具有良好的扩展性和可升级性，确保满足将来因业务发展而产生的升级扩展需求。要求用拓扑图的形式画出运营商的骨干网络，标明各骨干路由的带宽和设备（含传输和网络交换机）型号及运营商自己的互联网国际出口带宽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测试要求</w:t>
            </w:r>
          </w:p>
        </w:tc>
        <w:tc>
          <w:tcPr>
            <w:tcW w:w="40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</w:rPr>
              <w:t>供应商负责线路开通和测试，并提供至少两个星期的测试期。测试结果如不满足采购要求或技术要求，采购人有权解除合同；</w:t>
            </w:r>
          </w:p>
        </w:tc>
      </w:tr>
    </w:tbl>
    <w:p>
      <w:pPr>
        <w:spacing w:line="360" w:lineRule="auto"/>
        <w:ind w:firstLine="435"/>
        <w:outlineLvl w:val="1"/>
        <w:rPr>
          <w:rFonts w:asciiTheme="minorEastAsia" w:hAnsiTheme="minorEastAsia" w:eastAsiaTheme="minorEastAsia"/>
          <w:b/>
          <w:sz w:val="24"/>
          <w:szCs w:val="18"/>
        </w:rPr>
      </w:pPr>
      <w:r>
        <w:rPr>
          <w:rFonts w:hint="eastAsia" w:asciiTheme="minorEastAsia" w:hAnsiTheme="minorEastAsia" w:eastAsiaTheme="minorEastAsia"/>
          <w:b/>
          <w:sz w:val="24"/>
          <w:szCs w:val="18"/>
        </w:rPr>
        <w:t>四、报价要求</w:t>
      </w:r>
    </w:p>
    <w:p>
      <w:pPr>
        <w:spacing w:line="360" w:lineRule="auto"/>
        <w:ind w:firstLine="435"/>
        <w:rPr>
          <w:rFonts w:asciiTheme="minorEastAsia" w:hAnsiTheme="minorEastAsia" w:eastAsiaTheme="minorEastAsia"/>
          <w:b/>
          <w:sz w:val="24"/>
          <w:szCs w:val="18"/>
        </w:rPr>
      </w:pPr>
      <w:r>
        <w:rPr>
          <w:rFonts w:hint="eastAsia" w:asciiTheme="minorEastAsia" w:hAnsiTheme="minorEastAsia" w:eastAsiaTheme="minorEastAsia"/>
          <w:bCs/>
          <w:sz w:val="24"/>
          <w:szCs w:val="18"/>
        </w:rPr>
        <w:t>本项目报总价，包括接入线路施工费、互联设备费、接入费、带宽服务费、国内国际流量费、IP地址使用费、IP地址解析服务费、售后服务费等费用，即完成采购文件的一切服务内容，采购人不再追加任何费用，供应商自行考虑报价风险。</w:t>
      </w:r>
    </w:p>
    <w:bookmarkEnd w:id="0"/>
    <w:p>
      <w:pPr>
        <w:spacing w:line="360" w:lineRule="auto"/>
        <w:ind w:firstLine="437"/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@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@微软简标宋">
    <w:altName w:val="@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xNThjNTg4YmE3MWYzZTg0N2M0ZTlmMDZjMmZlMjQifQ=="/>
  </w:docVars>
  <w:rsids>
    <w:rsidRoot w:val="1A2213BD"/>
    <w:rsid w:val="04340C06"/>
    <w:rsid w:val="05470653"/>
    <w:rsid w:val="08D54135"/>
    <w:rsid w:val="08FC2C62"/>
    <w:rsid w:val="09083E2D"/>
    <w:rsid w:val="0BA916F2"/>
    <w:rsid w:val="0CF8760D"/>
    <w:rsid w:val="0FB03480"/>
    <w:rsid w:val="12D55AEB"/>
    <w:rsid w:val="19DD209C"/>
    <w:rsid w:val="1A2213BD"/>
    <w:rsid w:val="1E046ABA"/>
    <w:rsid w:val="1EE05BAB"/>
    <w:rsid w:val="1FE60D56"/>
    <w:rsid w:val="225F4C6E"/>
    <w:rsid w:val="258575AF"/>
    <w:rsid w:val="2C12790D"/>
    <w:rsid w:val="2C9A1872"/>
    <w:rsid w:val="2EA44CCB"/>
    <w:rsid w:val="3265385D"/>
    <w:rsid w:val="3339352B"/>
    <w:rsid w:val="376B527C"/>
    <w:rsid w:val="397B580B"/>
    <w:rsid w:val="3C0F442A"/>
    <w:rsid w:val="3C395F2E"/>
    <w:rsid w:val="46D17601"/>
    <w:rsid w:val="497C3AF8"/>
    <w:rsid w:val="4AD01991"/>
    <w:rsid w:val="4BE46262"/>
    <w:rsid w:val="4F317905"/>
    <w:rsid w:val="58543AB8"/>
    <w:rsid w:val="5C153640"/>
    <w:rsid w:val="5E024243"/>
    <w:rsid w:val="5E0571FA"/>
    <w:rsid w:val="5E114ABD"/>
    <w:rsid w:val="5F000AFC"/>
    <w:rsid w:val="63D95E2A"/>
    <w:rsid w:val="6501173D"/>
    <w:rsid w:val="68E00625"/>
    <w:rsid w:val="6B816306"/>
    <w:rsid w:val="6F864C1F"/>
    <w:rsid w:val="780E20D9"/>
    <w:rsid w:val="78506858"/>
    <w:rsid w:val="7CAA0F23"/>
    <w:rsid w:val="7F84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@仿宋_GB2312" w:hAnsi="@仿宋_GB2312" w:eastAsia="@仿宋_GB2312" w:cs="@仿宋_GB2312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 w:cs="Times New Roman"/>
      <w:b/>
      <w:bCs/>
      <w:sz w:val="32"/>
      <w:szCs w:val="32"/>
    </w:rPr>
  </w:style>
  <w:style w:type="paragraph" w:styleId="5">
    <w:name w:val="heading 3"/>
    <w:basedOn w:val="1"/>
    <w:next w:val="1"/>
    <w:autoRedefine/>
    <w:qFormat/>
    <w:uiPriority w:val="0"/>
    <w:pPr>
      <w:keepNext/>
      <w:keepLines/>
      <w:spacing w:before="260" w:after="260" w:line="416" w:lineRule="auto"/>
      <w:jc w:val="center"/>
      <w:outlineLvl w:val="2"/>
    </w:pPr>
    <w:rPr>
      <w:rFonts w:ascii="宋体"/>
      <w:b/>
      <w:bCs/>
      <w:sz w:val="32"/>
      <w:szCs w:val="32"/>
    </w:rPr>
  </w:style>
  <w:style w:type="paragraph" w:styleId="6">
    <w:name w:val="heading 4"/>
    <w:basedOn w:val="1"/>
    <w:next w:val="1"/>
    <w:autoRedefine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  <w:rPr>
      <w:rFonts w:ascii="@微软简标宋" w:hAnsi="@微软简标宋" w:eastAsia="@微软简标宋" w:cs="@微软简标宋"/>
      <w:szCs w:val="24"/>
      <w:lang w:val="zh-CN"/>
    </w:rPr>
  </w:style>
  <w:style w:type="paragraph" w:styleId="7">
    <w:name w:val="annotation text"/>
    <w:basedOn w:val="1"/>
    <w:autoRedefine/>
    <w:qFormat/>
    <w:uiPriority w:val="0"/>
    <w:pPr>
      <w:jc w:val="left"/>
    </w:pPr>
    <w:rPr>
      <w:rFonts w:ascii="Arial" w:hAnsi="Arial" w:eastAsia="黑体" w:cs="Arial"/>
    </w:rPr>
  </w:style>
  <w:style w:type="paragraph" w:styleId="8">
    <w:name w:val="Body Text Indent"/>
    <w:basedOn w:val="1"/>
    <w:next w:val="9"/>
    <w:autoRedefine/>
    <w:qFormat/>
    <w:uiPriority w:val="0"/>
    <w:pPr>
      <w:spacing w:after="120"/>
      <w:ind w:left="420" w:leftChars="200"/>
    </w:pPr>
  </w:style>
  <w:style w:type="paragraph" w:styleId="9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10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2"/>
    <w:basedOn w:val="1"/>
    <w:next w:val="1"/>
    <w:autoRedefine/>
    <w:unhideWhenUsed/>
    <w:qFormat/>
    <w:uiPriority w:val="39"/>
    <w:pPr>
      <w:widowControl/>
      <w:spacing w:after="100" w:line="276" w:lineRule="auto"/>
      <w:ind w:left="220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12">
    <w:name w:val="Body Text First Indent 2"/>
    <w:basedOn w:val="8"/>
    <w:next w:val="1"/>
    <w:autoRedefine/>
    <w:qFormat/>
    <w:uiPriority w:val="0"/>
    <w:pPr>
      <w:ind w:firstLine="420" w:firstLineChars="200"/>
    </w:pPr>
  </w:style>
  <w:style w:type="table" w:styleId="14">
    <w:name w:val="Table Grid"/>
    <w:basedOn w:val="13"/>
    <w:autoRedefine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Hyperlink"/>
    <w:basedOn w:val="15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7">
    <w:name w:val="Quote"/>
    <w:basedOn w:val="1"/>
    <w:next w:val="1"/>
    <w:autoRedefine/>
    <w:qFormat/>
    <w:uiPriority w:val="0"/>
    <w:pPr>
      <w:wordWrap w:val="0"/>
      <w:spacing w:before="200" w:after="160"/>
      <w:ind w:left="864" w:right="864"/>
      <w:jc w:val="center"/>
    </w:pPr>
    <w:rPr>
      <w:i/>
      <w:sz w:val="21"/>
    </w:rPr>
  </w:style>
  <w:style w:type="paragraph" w:customStyle="1" w:styleId="18">
    <w:name w:val="D&amp;L"/>
    <w:basedOn w:val="10"/>
    <w:autoRedefine/>
    <w:qFormat/>
    <w:uiPriority w:val="0"/>
    <w:pPr>
      <w:pBdr>
        <w:bottom w:val="thinThickSmallGap" w:color="auto" w:sz="18" w:space="1"/>
      </w:pBdr>
      <w:adjustRightInd w:val="0"/>
      <w:snapToGrid/>
      <w:spacing w:line="240" w:lineRule="atLeast"/>
      <w:textAlignment w:val="baseline"/>
    </w:pPr>
    <w:rPr>
      <w:kern w:val="0"/>
      <w:sz w:val="24"/>
      <w:szCs w:val="20"/>
    </w:rPr>
  </w:style>
  <w:style w:type="paragraph" w:customStyle="1" w:styleId="19">
    <w:name w:val="xl31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b/>
      <w:bCs/>
      <w:kern w:val="0"/>
      <w:sz w:val="28"/>
      <w:szCs w:val="28"/>
    </w:rPr>
  </w:style>
  <w:style w:type="character" w:customStyle="1" w:styleId="20">
    <w:name w:val="font41"/>
    <w:basedOn w:val="15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1">
    <w:name w:val="font11"/>
    <w:basedOn w:val="15"/>
    <w:autoRedefine/>
    <w:qFormat/>
    <w:uiPriority w:val="0"/>
    <w:rPr>
      <w:rFonts w:ascii="黑体" w:hAnsi="宋体" w:eastAsia="黑体" w:cs="黑体"/>
      <w:b/>
      <w:bCs/>
      <w:color w:val="000000"/>
      <w:sz w:val="18"/>
      <w:szCs w:val="18"/>
      <w:u w:val="none"/>
    </w:rPr>
  </w:style>
  <w:style w:type="paragraph" w:styleId="22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3">
    <w:name w:val="0-0.正文格式"/>
    <w:basedOn w:val="1"/>
    <w:autoRedefine/>
    <w:qFormat/>
    <w:uiPriority w:val="0"/>
    <w:pPr>
      <w:autoSpaceDE w:val="0"/>
      <w:autoSpaceDN w:val="0"/>
      <w:ind w:firstLine="480"/>
      <w:jc w:val="left"/>
    </w:pPr>
    <w:rPr>
      <w:rFonts w:ascii="宋体" w:hAnsi="宋体"/>
      <w:kern w:val="0"/>
      <w:sz w:val="22"/>
      <w:szCs w:val="24"/>
      <w:lang w:eastAsia="en-US"/>
    </w:rPr>
  </w:style>
  <w:style w:type="paragraph" w:customStyle="1" w:styleId="24">
    <w:name w:val="FC正文"/>
    <w:basedOn w:val="1"/>
    <w:autoRedefine/>
    <w:qFormat/>
    <w:uiPriority w:val="0"/>
    <w:pPr>
      <w:widowControl/>
      <w:snapToGrid w:val="0"/>
      <w:spacing w:before="50" w:beforeLines="50" w:after="50" w:afterLines="50" w:line="360" w:lineRule="auto"/>
      <w:ind w:firstLine="200" w:firstLineChars="200"/>
      <w:contextualSpacing/>
    </w:pPr>
    <w:rPr>
      <w:rFonts w:asciiTheme="minorHAnsi" w:hAnsiTheme="minorHAnsi" w:eastAsiaTheme="minorEastAsia" w:cstheme="minorBidi"/>
      <w:kern w:val="0"/>
      <w:sz w:val="24"/>
      <w:szCs w:val="21"/>
      <w:lang w:val="zh-CN"/>
    </w:rPr>
  </w:style>
  <w:style w:type="paragraph" w:customStyle="1" w:styleId="25">
    <w:name w:val="表格内容"/>
    <w:basedOn w:val="1"/>
    <w:next w:val="1"/>
    <w:autoRedefine/>
    <w:qFormat/>
    <w:uiPriority w:val="99"/>
    <w:pPr>
      <w:spacing w:line="340" w:lineRule="exact"/>
      <w:ind w:firstLine="0" w:firstLineChars="0"/>
    </w:pPr>
    <w:rPr>
      <w:rFonts w:cs="宋体"/>
      <w:szCs w:val="24"/>
    </w:rPr>
  </w:style>
  <w:style w:type="paragraph" w:customStyle="1" w:styleId="2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Times New Roman"/>
      <w:color w:val="000000"/>
      <w:sz w:val="24"/>
      <w:szCs w:val="22"/>
      <w:lang w:val="en-US" w:eastAsia="zh-CN" w:bidi="ar-SA"/>
    </w:rPr>
  </w:style>
  <w:style w:type="table" w:customStyle="1" w:styleId="27">
    <w:name w:val="Table"/>
    <w:autoRedefine/>
    <w:semiHidden/>
    <w:unhideWhenUsed/>
    <w:qFormat/>
    <w:uiPriority w:val="0"/>
    <w:pPr>
      <w:spacing w:after="200"/>
    </w:pPr>
    <w:rPr>
      <w:rFonts w:asciiTheme="minorHAnsi" w:hAnsiTheme="minorHAnsi" w:eastAsiaTheme="minorEastAsia" w:cstheme="minorBidi"/>
      <w:sz w:val="24"/>
      <w:szCs w:val="24"/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bottom w:val="single" w:color="auto" w:sz="0" w:space="0"/>
        </w:tcBorders>
        <w:vAlign w:val="bottom"/>
      </w:tc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2024-02-08T01:32:00Z</dcterms:created>
  <dc:creator>admin</dc:creator>
  <cp:lastModifiedBy>吴瑞</cp:lastModifiedBy>
  <dcterms:modified xsi:type="dcterms:W3CDTF">2024-09-03T01:11:36Z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B8C302DD47744F3DB9026294BF90D34D_12</vt:lpwstr>
  </property>
</Properties>
</file>