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color w:val="auto"/>
          <w:sz w:val="28"/>
          <w:highlight w:val="none"/>
        </w:rPr>
      </w:pPr>
      <w:bookmarkStart w:id="0" w:name="_Toc2930"/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第三章  采购需求</w:t>
      </w:r>
      <w:bookmarkEnd w:id="0"/>
    </w:p>
    <w:p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政府采</w:t>
      </w:r>
      <w:bookmarkStart w:id="3" w:name="_GoBack"/>
      <w:bookmarkEnd w:id="3"/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购进口产品管理办法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2.下列采购需求中：</w:t>
      </w:r>
    </w:p>
    <w:p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3.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下列采购需求中：标注▲的产品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（核心产品）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，投标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人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在投标文件《主要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中标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标的承诺函》中填写名称、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品牌、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规格、型号、数量、单价等信息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>
      <w:pPr>
        <w:spacing w:line="360" w:lineRule="auto"/>
        <w:ind w:firstLine="435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如采购人允许采用分包方式履行合同的，应当明确可以分包履行的相关内容。</w:t>
      </w: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1" w:name="_Toc2554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1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合同签订后采购人收到中标人发票后预支付合同价款的50%，供货安装完成验收合格后，支付合同剩余款项。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安徽艺术职业学院,采购人指定地点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供货及安装期限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合同生效后45日内供货安装完毕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免费质保期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验收合格之日起5年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货物需求</w:t>
      </w:r>
    </w:p>
    <w:p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货物指标重要性表述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631"/>
        <w:gridCol w:w="4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31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标识符号</w:t>
            </w:r>
          </w:p>
        </w:tc>
        <w:tc>
          <w:tcPr>
            <w:tcW w:w="4832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eastAsia="@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代表意思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31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★</w:t>
            </w:r>
          </w:p>
        </w:tc>
        <w:tc>
          <w:tcPr>
            <w:tcW w:w="4832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</w:t>
            </w:r>
            <w:r>
              <w:rPr>
                <w:rFonts w:ascii="宋体" w:hAnsi="宋体" w:eastAsia="宋体" w:cs="宋体"/>
                <w:sz w:val="24"/>
                <w:szCs w:val="24"/>
              </w:rPr>
              <w:t>分项，详见评标办法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31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无标识项</w:t>
            </w:r>
          </w:p>
        </w:tc>
        <w:tc>
          <w:tcPr>
            <w:tcW w:w="4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投标人须在投标文件中提供承诺，承诺无标识项完全满足采购文件要求，如履约验收期间所投产品不满足采购文件要求，采购人有权追究违约责任，中标人承担由此产生的一切后果及责任（承诺函格式详见投标文件格式）。投标文件中未提供相应承诺或承诺的内容不满足要求的，投标无效。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货物指标要求</w:t>
      </w:r>
    </w:p>
    <w:tbl>
      <w:tblPr>
        <w:tblStyle w:val="6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00"/>
        <w:gridCol w:w="6476"/>
        <w:gridCol w:w="962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47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参数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962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数量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公寓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书桌床</w:t>
            </w:r>
          </w:p>
        </w:tc>
        <w:tc>
          <w:tcPr>
            <w:tcW w:w="6476" w:type="dxa"/>
            <w:vAlign w:val="top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公寓床架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整体规格：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00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900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2100mm，每组为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人位（注：含床钢架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位、学习桌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位，储物柜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位、床板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个、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爬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梯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个）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；单人位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规格：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00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900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2100mm。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)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.床立柱：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边立柱采用P型无缝钢管，由7个面组成，外形75mm×60mm厚度1.2mm，前方两面r角10mm，有效防护。与床横梁连接面呈120度角，两个面与床横梁连接。与床侧短横梁连接边为33mm，p型内R角不低于5mm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中间立柱采用正六边形无缝钢管，直径65mm（±1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），钢管厚度1.2mm，不得采用拼接工艺制造，表面经环保氧聚酯塑粉静电喷塑处理，结构稳固、安全美观。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投标文件中提供实物实景测量彩色照片，（照片需有前后左右及俯视等角度，照片中须能准确体现产品满足上述要求的尺寸及截面）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★3.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床横梁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采用35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68mm（±1mm），壁厚1.2mm型材管件，横梁管件下沿两边R10mm圆角处理，防止刃口对学生头部造成伤害，两头卡扣连接在立柱上，横杆下沿距地约1740mm。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投标文件中提供实物实景测量彩色照片，（照片需有前后左右及俯视等角度，照片中须能准确体现产品满足上述要求的尺寸及截面）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、床护栏：床前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侧护栏20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×20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（±1mm）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，厚度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1.2mm，高度不低于300mm方钢设计，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内嵌装饰板，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造型安全美观。两侧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中间床头护栏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横杆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采用25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25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（±1mm）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，厚度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1.0mm方钢设计，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竖杆采用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19mm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1.0mm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方钢设计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焊接处应无脱焊、虚焊、焊穿、错位，应无夹渣、气孔、焊瘤、焊丝头、咬边、飞溅。涂层应光滑均匀，色泽一致，应无流挂、疙瘩、皱皮、飞漆等缺陷。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★5、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连接方式：立柱与床横梁采用卡式连接件，采用2mm厚优质钢板经冲压一次成型，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  <w:t>挂件卡扣不外露，隐藏式设计。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连接扣点采用不小于3个位置纵向垂直连接，每个扣点与立柱接触面不小于2面。避免踩踏边沿造成床板抬翘的安全隐患，增加牢固性、安全性。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投标文件中提供实物实景测量彩色照片，（照片需有前后左右及俯视等角度，照片中须能准确体现产品满足上述要求的尺寸及截面）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床板：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床板厚度不低于1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mm杉木，表面刨光，无毛刺。</w:t>
            </w:r>
          </w:p>
          <w:p>
            <w:pPr>
              <w:pStyle w:val="9"/>
              <w:widowControl w:val="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  <w:t>床支撑：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采用5根规格为45mm×16mm，壁厚1.2mm等腰梯形型材管件，梯形锐角为44度，梯形宽度支撑床板，梯形短边两角为R10mm设计，有效防护碰头对学生造成伤害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两端开有3mm宽凹槽卡住横梁内侧。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投标文件中提供实物实景测量彩色照片，（照片需有前后左右及俯视等角度，照片中须能准确体现产品满足上述要求的尺寸及截面）</w:t>
            </w:r>
          </w:p>
          <w:p>
            <w:pPr>
              <w:pStyle w:val="9"/>
              <w:widowControl w:val="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床板横撑加固消音件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57mm×23mm×12mm（±1mm），采用PP塑料注塑一次成型，安装后易扣难取，使床支撑和床横梁之间连接更加稳固，并且消除了因外力作用产生的钢架噪音。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两床间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  <w:t>爬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梯：边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管采用37mm×27mm×1.2mm厚冷轧蛋形管件，钢架上端弯曲成一定弧度，爬梯设有5个防滑踏板。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防滑踏板采用材质为荧光HDPE高密度聚乙烯（中空吹塑），规格尺寸为390mm×1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mm×38mm（±1mm），踏步接触面上有防滑曲线或图案，有6个二次止退圆孔，用于内嵌安装6个直径15mm（±1mm）圆形聚丙烯夜光点，踏板下方有25mm×25mm凹槽，用于加强连接管的连接，踏步槽内有三个M6预埋螺母，便于连接管的安装与紧固，踏板上带有脚掌印标识，不少于8排防滑条纹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投标文件中提供实物实景测量彩色照片，（照片需有前后左右及俯视等角度，照片中须能准确体现产品满足上述要求的尺寸及注塑工艺）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蚊帐架：采用直径16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×0.9mm厚钢制圆管。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</w:rPr>
              <w:t>脚垫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立柱脚垫采用全新PP塑料，耐寒、耐热、耐磨、耐水、耐晒不变形，韧性强，弯曲性强。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</w:rPr>
              <w:t>、学习桌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规格：不低于1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00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600mm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750mm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2.桌面板：长1300mm×宽600mm(±1mm)，桌面板采用不低于25mm厚E1级优质实木多层板，桌面四周边沿及桌面后方挡笔条采用一次性无接头PP塑料注塑封边一次成型（PP塑料--无臭、无味、无毒、强度、刚度、硬度耐热性高，化学性能稳定与绝大多数化学药品不反应且电绝缘性好），四周边沿采用45度倒梯形设计，防止桌面与学生发生磕碰。产品外形美观人性化设计且更加经久耐用，增加产品使用寿命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投标文件中提供实物实景测量彩色照片，（照片需有前后左右及俯视等角度，照片中须能准确体现产品满足上述要求的尺寸及注塑封边工艺）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学习桌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配有书架：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基材采用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E1级优质实木多层板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，横面板材厚度≥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mm，竖直隔断板材厚度≥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mm，均采用PVC高温热熔胶封边，板材之间要粘接牢固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背板采用≥5mm厚环保密度板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坚固、耐用，可放置学习、生活用品。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4.下柜柜体采用E1级18mm优质三聚氰胺板，背板、抽屉底板采用≥5mm厚E1级三聚氰胺板密度板。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5.学习桌抽屉面板、柜门门板基材采用15mm厚度的E1级优质三聚氰胺板，面板正面上下角配有拉手，环保，硬度高，韧性强，表面耐磨、耐划伤、抗污抗老化、抗压抗冲击，采用PVC高温热熔胶封边，抽屉阻尼静音导轨等连接均采用优质五金件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6.脚垫：为了防止柜体底部与地面接触受潮，在柜体底部加装ABS防潮脚垫，尺寸约  52*52*30mm。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</w:rPr>
              <w:t>、储物柜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规格：不低于长6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×宽600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×高1700mm。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储物柜主材采用≥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mm厚度的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E1级优质实木多层板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制作，每个衣柜分为上下两层设计，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衣柜门板采用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E1级优质三聚氰胺板，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衣柜背板采用≥5mm密度板制作，外露可视边截面处均采用优质1.5mm厚PVC封边条。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柜门板配有拉手和锁，内部配有挂衣杆一根、层板一个。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4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五金件：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均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采用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优质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五金配件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2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1104套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公寓椅</w:t>
            </w:r>
          </w:p>
        </w:tc>
        <w:tc>
          <w:tcPr>
            <w:tcW w:w="6476" w:type="dxa"/>
            <w:vAlign w:val="top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.椅座、椅背：采用全新聚丙烯加玻璃纤维，后背巧妙几何镂空手提式设计，方便使用者单手手提和单手搬运功能，椅座长度495mm(±1mm)，宽度440mm(±1mm)，厚度8mm（最薄处），43mm（最厚处）；椅背总宽度410mm(±1mm),长度395mm(±1mm)，厚度6mm,外观形似笑脸，笑脸的形状设计，笑口宽度3-15mm，最上端开口处间距9mm安装方式是卡扣加隐藏式螺丝，简洁美观，手提位的宽度是136mm(±1mm)，靠背可根据人体工学实现功能性、可调节、可倾仰、多角度变化功能，可根据靠背力度调节角度10-15度。顶腰位置可随着使用者的使用力度而变化实现顶腰效果明显。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投标文件中提供实物实景测量彩色照片，（照片需有前后左右及俯视等角度，照片中须能准确体现产品满足上述要求的尺寸及注塑工艺）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2.装饰壳：采用ABS材质，镂空牛油果形状外高内底设计，上端长120mm(±1mm)，边长230mm(±1mm)，下端长245mm(±1mm)，安装方式采用卡扣式安装（颜色可根据用户需求与椅座或椅背颜色搭配）。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3.椅脚：由直径16mm(±1mm)，1.5mm厚优质冷轧钢板制成表面经酸洗、磷化等防锈处理，流水线静电喷涂，具有耐磨，防腐，抗老化等性能。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4.脚垫：前脚垫长68mm(±1mm)，宽22mm(±1mm)，高65mm(±1mm)，厚度2mm。后脚垫长72mm(±1mm)，宽22mm(±1mm)，高67mm(±1mm)，厚度2mm。全新聚丙烯加玻璃纤维制作，抗磨损性强。采用配套的耐磨塑料材质，能使整椅稳定性更强，使用时不会翻倒，产品在堆叠时，可以保护产品不会碰伤，防滑性好，不会刮花木地板。</w:t>
            </w:r>
          </w:p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5.塑料件外观应无裂纹、明显变形、缩水、针孔；应无凹陷、飞边、杂质、伤痕、白印，表面应光洁，应无划痕、毛刺、拉毛、污渍；应无明显色差。</w:t>
            </w:r>
          </w:p>
        </w:tc>
        <w:tc>
          <w:tcPr>
            <w:tcW w:w="962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1104套</w:t>
            </w:r>
          </w:p>
        </w:tc>
        <w:tc>
          <w:tcPr>
            <w:tcW w:w="829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</w:tr>
    </w:tbl>
    <w:p>
      <w:pPr>
        <w:bidi w:val="0"/>
        <w:rPr>
          <w:rFonts w:hint="eastAsia"/>
        </w:rPr>
      </w:pPr>
      <w:bookmarkStart w:id="2" w:name="_Toc4843"/>
    </w:p>
    <w:p>
      <w:pPr>
        <w:numPr>
          <w:ilvl w:val="0"/>
          <w:numId w:val="1"/>
        </w:numPr>
        <w:spacing w:line="360" w:lineRule="auto"/>
        <w:ind w:left="0" w:leftChars="0" w:firstLine="437" w:firstLineChars="0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报价要求</w:t>
      </w:r>
      <w:bookmarkEnd w:id="2"/>
    </w:p>
    <w:p>
      <w:pPr>
        <w:spacing w:line="360" w:lineRule="auto"/>
        <w:ind w:firstLine="480" w:firstLineChars="200"/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本项目报投标总价，并同时报出分项报价，投标总价包含完成本项目所产生的一切费用，履约期间采购人不予追加任何费用，请投标人综合考虑各种风险，谨慎报价。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B73BD"/>
    <w:multiLevelType w:val="singleLevel"/>
    <w:tmpl w:val="BF8B73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961047"/>
    <w:multiLevelType w:val="singleLevel"/>
    <w:tmpl w:val="399610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OGQxMjExN2UxNzc1NzZkZGQyNmZkMmU5YmNlZmUifQ=="/>
  </w:docVars>
  <w:rsids>
    <w:rsidRoot w:val="00000000"/>
    <w:rsid w:val="4EB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&amp;L"/>
    <w:basedOn w:val="3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2024-06-17T05:31:17Z</dcterms:created>
  <dc:creator>admin</dc:creator>
  <cp:lastModifiedBy>张挺</cp:lastModifiedBy>
  <dcterms:modified xsi:type="dcterms:W3CDTF">2024-06-17T05:31:25Z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7A5A301BB58644D2A3BD4F2DE8055BD3_12</vt:lpwstr>
  </property>
</Properties>
</file>