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0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83.xml" ContentType="application/vnd.ms-office.chartcolorstyle+xml"/>
  <Override PartName="/word/charts/colors84.xml" ContentType="application/vnd.ms-office.chartcolorstyle+xml"/>
  <Override PartName="/word/charts/colors85.xml" ContentType="application/vnd.ms-office.chartcolorstyle+xml"/>
  <Override PartName="/word/charts/colors86.xml" ContentType="application/vnd.ms-office.chartcolorstyle+xml"/>
  <Override PartName="/word/charts/colors87.xml" ContentType="application/vnd.ms-office.chartcolorstyle+xml"/>
  <Override PartName="/word/charts/colors88.xml" ContentType="application/vnd.ms-office.chartcolorstyle+xml"/>
  <Override PartName="/word/charts/colors89.xml" ContentType="application/vnd.ms-office.chartcolorstyle+xml"/>
  <Override PartName="/word/charts/colors9.xml" ContentType="application/vnd.ms-office.chartcolorstyle+xml"/>
  <Override PartName="/word/charts/colors90.xml" ContentType="application/vnd.ms-office.chartcolorstyle+xml"/>
  <Override PartName="/word/charts/colors91.xml" ContentType="application/vnd.ms-office.chartcolorstyle+xml"/>
  <Override PartName="/word/charts/colors92.xml" ContentType="application/vnd.ms-office.chartcolorstyle+xml"/>
  <Override PartName="/word/charts/colors93.xml" ContentType="application/vnd.ms-office.chartcolorstyle+xml"/>
  <Override PartName="/word/charts/colors94.xml" ContentType="application/vnd.ms-office.chartcolorstyle+xml"/>
  <Override PartName="/word/charts/colors95.xml" ContentType="application/vnd.ms-office.chartcolorstyle+xml"/>
  <Override PartName="/word/charts/colors96.xml" ContentType="application/vnd.ms-office.chartcolorstyle+xml"/>
  <Override PartName="/word/charts/colors97.xml" ContentType="application/vnd.ms-office.chartcolorstyle+xml"/>
  <Override PartName="/word/charts/colors98.xml" ContentType="application/vnd.ms-office.chartcolorstyle+xml"/>
  <Override PartName="/word/charts/colors99.xml" ContentType="application/vnd.ms-office.chartcolorstyle+xml"/>
  <Override PartName="/word/charts/style1.xml" ContentType="application/vnd.ms-office.chartstyle+xml"/>
  <Override PartName="/word/charts/style10.xml" ContentType="application/vnd.ms-office.chartstyle+xml"/>
  <Override PartName="/word/charts/style10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83.xml" ContentType="application/vnd.ms-office.chartstyle+xml"/>
  <Override PartName="/word/charts/style84.xml" ContentType="application/vnd.ms-office.chartstyle+xml"/>
  <Override PartName="/word/charts/style85.xml" ContentType="application/vnd.ms-office.chartstyle+xml"/>
  <Override PartName="/word/charts/style86.xml" ContentType="application/vnd.ms-office.chartstyle+xml"/>
  <Override PartName="/word/charts/style87.xml" ContentType="application/vnd.ms-office.chartstyle+xml"/>
  <Override PartName="/word/charts/style88.xml" ContentType="application/vnd.ms-office.chartstyle+xml"/>
  <Override PartName="/word/charts/style89.xml" ContentType="application/vnd.ms-office.chartstyle+xml"/>
  <Override PartName="/word/charts/style9.xml" ContentType="application/vnd.ms-office.chartstyle+xml"/>
  <Override PartName="/word/charts/style90.xml" ContentType="application/vnd.ms-office.chartstyle+xml"/>
  <Override PartName="/word/charts/style91.xml" ContentType="application/vnd.ms-office.chartstyle+xml"/>
  <Override PartName="/word/charts/style92.xml" ContentType="application/vnd.ms-office.chartstyle+xml"/>
  <Override PartName="/word/charts/style93.xml" ContentType="application/vnd.ms-office.chartstyle+xml"/>
  <Override PartName="/word/charts/style94.xml" ContentType="application/vnd.ms-office.chartstyle+xml"/>
  <Override PartName="/word/charts/style95.xml" ContentType="application/vnd.ms-office.chartstyle+xml"/>
  <Override PartName="/word/charts/style96.xml" ContentType="application/vnd.ms-office.chartstyle+xml"/>
  <Override PartName="/word/charts/style97.xml" ContentType="application/vnd.ms-office.chartstyle+xml"/>
  <Override PartName="/word/charts/style98.xml" ContentType="application/vnd.ms-office.chartstyle+xml"/>
  <Override PartName="/word/charts/style9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00.xml" ContentType="application/vnd.openxmlformats-officedocument.themeOverride+xml"/>
  <Override PartName="/word/theme/themeOverride101.xml" ContentType="application/vnd.openxmlformats-officedocument.themeOverride+xml"/>
  <Override PartName="/word/theme/themeOverride102.xml" ContentType="application/vnd.openxmlformats-officedocument.themeOverride+xml"/>
  <Override PartName="/word/theme/themeOverride103.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63.xml" ContentType="application/vnd.openxmlformats-officedocument.themeOverride+xml"/>
  <Override PartName="/word/theme/themeOverride64.xml" ContentType="application/vnd.openxmlformats-officedocument.themeOverride+xml"/>
  <Override PartName="/word/theme/themeOverride65.xml" ContentType="application/vnd.openxmlformats-officedocument.themeOverride+xml"/>
  <Override PartName="/word/theme/themeOverride66.xml" ContentType="application/vnd.openxmlformats-officedocument.themeOverride+xml"/>
  <Override PartName="/word/theme/themeOverride67.xml" ContentType="application/vnd.openxmlformats-officedocument.themeOverride+xml"/>
  <Override PartName="/word/theme/themeOverride68.xml" ContentType="application/vnd.openxmlformats-officedocument.themeOverride+xml"/>
  <Override PartName="/word/theme/themeOverride69.xml" ContentType="application/vnd.openxmlformats-officedocument.themeOverride+xml"/>
  <Override PartName="/word/theme/themeOverride7.xml" ContentType="application/vnd.openxmlformats-officedocument.themeOverride+xml"/>
  <Override PartName="/word/theme/themeOverride70.xml" ContentType="application/vnd.openxmlformats-officedocument.themeOverride+xml"/>
  <Override PartName="/word/theme/themeOverride71.xml" ContentType="application/vnd.openxmlformats-officedocument.themeOverride+xml"/>
  <Override PartName="/word/theme/themeOverride72.xml" ContentType="application/vnd.openxmlformats-officedocument.themeOverride+xml"/>
  <Override PartName="/word/theme/themeOverride73.xml" ContentType="application/vnd.openxmlformats-officedocument.themeOverride+xml"/>
  <Override PartName="/word/theme/themeOverride74.xml" ContentType="application/vnd.openxmlformats-officedocument.themeOverride+xml"/>
  <Override PartName="/word/theme/themeOverride75.xml" ContentType="application/vnd.openxmlformats-officedocument.themeOverride+xml"/>
  <Override PartName="/word/theme/themeOverride76.xml" ContentType="application/vnd.openxmlformats-officedocument.themeOverride+xml"/>
  <Override PartName="/word/theme/themeOverride77.xml" ContentType="application/vnd.openxmlformats-officedocument.themeOverride+xml"/>
  <Override PartName="/word/theme/themeOverride78.xml" ContentType="application/vnd.openxmlformats-officedocument.themeOverride+xml"/>
  <Override PartName="/word/theme/themeOverride79.xml" ContentType="application/vnd.openxmlformats-officedocument.themeOverride+xml"/>
  <Override PartName="/word/theme/themeOverride8.xml" ContentType="application/vnd.openxmlformats-officedocument.themeOverride+xml"/>
  <Override PartName="/word/theme/themeOverride80.xml" ContentType="application/vnd.openxmlformats-officedocument.themeOverride+xml"/>
  <Override PartName="/word/theme/themeOverride81.xml" ContentType="application/vnd.openxmlformats-officedocument.themeOverride+xml"/>
  <Override PartName="/word/theme/themeOverride82.xml" ContentType="application/vnd.openxmlformats-officedocument.themeOverride+xml"/>
  <Override PartName="/word/theme/themeOverride83.xml" ContentType="application/vnd.openxmlformats-officedocument.themeOverride+xml"/>
  <Override PartName="/word/theme/themeOverride84.xml" ContentType="application/vnd.openxmlformats-officedocument.themeOverride+xml"/>
  <Override PartName="/word/theme/themeOverride85.xml" ContentType="application/vnd.openxmlformats-officedocument.themeOverride+xml"/>
  <Override PartName="/word/theme/themeOverride86.xml" ContentType="application/vnd.openxmlformats-officedocument.themeOverride+xml"/>
  <Override PartName="/word/theme/themeOverride87.xml" ContentType="application/vnd.openxmlformats-officedocument.themeOverride+xml"/>
  <Override PartName="/word/theme/themeOverride88.xml" ContentType="application/vnd.openxmlformats-officedocument.themeOverride+xml"/>
  <Override PartName="/word/theme/themeOverride89.xml" ContentType="application/vnd.openxmlformats-officedocument.themeOverride+xml"/>
  <Override PartName="/word/theme/themeOverride9.xml" ContentType="application/vnd.openxmlformats-officedocument.themeOverride+xml"/>
  <Override PartName="/word/theme/themeOverride90.xml" ContentType="application/vnd.openxmlformats-officedocument.themeOverride+xml"/>
  <Override PartName="/word/theme/themeOverride91.xml" ContentType="application/vnd.openxmlformats-officedocument.themeOverride+xml"/>
  <Override PartName="/word/theme/themeOverride92.xml" ContentType="application/vnd.openxmlformats-officedocument.themeOverride+xml"/>
  <Override PartName="/word/theme/themeOverride93.xml" ContentType="application/vnd.openxmlformats-officedocument.themeOverride+xml"/>
  <Override PartName="/word/theme/themeOverride94.xml" ContentType="application/vnd.openxmlformats-officedocument.themeOverride+xml"/>
  <Override PartName="/word/theme/themeOverride95.xml" ContentType="application/vnd.openxmlformats-officedocument.themeOverride+xml"/>
  <Override PartName="/word/theme/themeOverride96.xml" ContentType="application/vnd.openxmlformats-officedocument.themeOverride+xml"/>
  <Override PartName="/word/theme/themeOverride97.xml" ContentType="application/vnd.openxmlformats-officedocument.themeOverride+xml"/>
  <Override PartName="/word/theme/themeOverride98.xml" ContentType="application/vnd.openxmlformats-officedocument.themeOverride+xml"/>
  <Override PartName="/word/theme/themeOverride9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2"/>
          <w:lang w:val="en-US" w:eastAsia="zh-CN" w:bidi="ar-SA"/>
        </w:rPr>
        <w:id w:val="147476286"/>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pPr>
          <w:bookmarkStart w:id="0" w:name="_Toc22408"/>
          <w:r>
            <w:rPr>
              <w:rFonts w:ascii="宋体" w:hAnsi="宋体" w:eastAsia="宋体"/>
              <w:sz w:val="21"/>
            </w:rPr>
            <w:t>目录</w:t>
          </w:r>
        </w:p>
        <w:p>
          <w:pPr>
            <w:pStyle w:val="12"/>
            <w:tabs>
              <w:tab w:val="right" w:leader="dot" w:pos="8600"/>
            </w:tabs>
          </w:pPr>
          <w:r>
            <w:rPr>
              <w:sz w:val="24"/>
              <w:szCs w:val="24"/>
            </w:rPr>
            <w:fldChar w:fldCharType="begin"/>
          </w:r>
          <w:r>
            <w:rPr>
              <w:sz w:val="24"/>
              <w:szCs w:val="24"/>
            </w:rPr>
            <w:instrText xml:space="preserve">TOC \o "1-2" \h \u </w:instrText>
          </w:r>
          <w:r>
            <w:rPr>
              <w:sz w:val="24"/>
              <w:szCs w:val="24"/>
            </w:rPr>
            <w:fldChar w:fldCharType="separate"/>
          </w:r>
          <w:r>
            <w:rPr>
              <w:szCs w:val="24"/>
            </w:rPr>
            <w:fldChar w:fldCharType="begin"/>
          </w:r>
          <w:r>
            <w:rPr>
              <w:szCs w:val="24"/>
            </w:rPr>
            <w:instrText xml:space="preserve"> HYPERLINK \l _Toc26224 </w:instrText>
          </w:r>
          <w:r>
            <w:rPr>
              <w:szCs w:val="24"/>
            </w:rPr>
            <w:fldChar w:fldCharType="separate"/>
          </w:r>
          <w:r>
            <w:rPr>
              <w:rFonts w:hint="eastAsia" w:ascii="黑体" w:hAnsi="黑体" w:eastAsia="黑体" w:cs="黑体"/>
              <w:bCs w:val="0"/>
              <w:szCs w:val="44"/>
            </w:rPr>
            <w:t>引  言</w:t>
          </w:r>
          <w:r>
            <w:tab/>
          </w:r>
          <w:r>
            <w:fldChar w:fldCharType="begin"/>
          </w:r>
          <w:r>
            <w:instrText xml:space="preserve"> PAGEREF _Toc26224 \h </w:instrText>
          </w:r>
          <w:r>
            <w:fldChar w:fldCharType="separate"/>
          </w:r>
          <w:r>
            <w:t>1</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_Toc4462 </w:instrText>
          </w:r>
          <w:r>
            <w:rPr>
              <w:szCs w:val="24"/>
            </w:rPr>
            <w:fldChar w:fldCharType="separate"/>
          </w:r>
          <w:r>
            <w:rPr>
              <w:rFonts w:hint="eastAsia" w:ascii="黑体" w:hAnsi="黑体" w:eastAsia="黑体" w:cs="黑体"/>
              <w:bCs w:val="0"/>
              <w:szCs w:val="44"/>
              <w:lang w:val="en-US" w:eastAsia="zh-CN"/>
            </w:rPr>
            <w:t>报告说明</w:t>
          </w:r>
          <w:r>
            <w:tab/>
          </w:r>
          <w:r>
            <w:fldChar w:fldCharType="begin"/>
          </w:r>
          <w:r>
            <w:instrText xml:space="preserve"> PAGEREF _Toc4462 \h </w:instrText>
          </w:r>
          <w:r>
            <w:fldChar w:fldCharType="separate"/>
          </w:r>
          <w:r>
            <w:t>2</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_Toc17161 </w:instrText>
          </w:r>
          <w:r>
            <w:rPr>
              <w:szCs w:val="24"/>
            </w:rPr>
            <w:fldChar w:fldCharType="separate"/>
          </w:r>
          <w:r>
            <w:rPr>
              <w:rFonts w:hint="eastAsia"/>
            </w:rPr>
            <w:t xml:space="preserve">第一部分 </w:t>
          </w:r>
          <w:r>
            <w:rPr>
              <w:rFonts w:hint="eastAsia"/>
              <w:lang w:eastAsia="zh-CN"/>
            </w:rPr>
            <w:t>毕业生</w:t>
          </w:r>
          <w:r>
            <w:rPr>
              <w:rFonts w:hint="eastAsia"/>
            </w:rPr>
            <w:t>基本情况</w:t>
          </w:r>
          <w:r>
            <w:tab/>
          </w:r>
          <w:r>
            <w:fldChar w:fldCharType="begin"/>
          </w:r>
          <w:r>
            <w:instrText xml:space="preserve"> PAGEREF _Toc17161 \h </w:instrText>
          </w:r>
          <w:r>
            <w:fldChar w:fldCharType="separate"/>
          </w:r>
          <w:r>
            <w:t>4</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_Toc26276 </w:instrText>
          </w:r>
          <w:r>
            <w:rPr>
              <w:szCs w:val="24"/>
            </w:rPr>
            <w:fldChar w:fldCharType="separate"/>
          </w:r>
          <w:r>
            <w:rPr>
              <w:rFonts w:hint="eastAsia"/>
              <w:szCs w:val="28"/>
            </w:rPr>
            <w:t xml:space="preserve">一、 </w:t>
          </w:r>
          <w:r>
            <w:rPr>
              <w:rFonts w:hint="eastAsia"/>
            </w:rPr>
            <w:t>毕业生总体情况</w:t>
          </w:r>
          <w:r>
            <w:tab/>
          </w:r>
          <w:r>
            <w:fldChar w:fldCharType="begin"/>
          </w:r>
          <w:r>
            <w:instrText xml:space="preserve"> PAGEREF _Toc26276 \h </w:instrText>
          </w:r>
          <w:r>
            <w:fldChar w:fldCharType="separate"/>
          </w:r>
          <w:r>
            <w:t>4</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_Toc8702 </w:instrText>
          </w:r>
          <w:r>
            <w:rPr>
              <w:szCs w:val="24"/>
            </w:rPr>
            <w:fldChar w:fldCharType="separate"/>
          </w:r>
          <w:r>
            <w:rPr>
              <w:rFonts w:hint="eastAsia"/>
              <w:szCs w:val="28"/>
            </w:rPr>
            <w:t xml:space="preserve">二、 </w:t>
          </w:r>
          <w:r>
            <w:rPr>
              <w:rFonts w:hint="eastAsia"/>
            </w:rPr>
            <w:t>毕业生生源情况</w:t>
          </w:r>
          <w:bookmarkStart w:id="300" w:name="_GoBack"/>
          <w:bookmarkEnd w:id="300"/>
          <w:r>
            <w:tab/>
          </w:r>
          <w:r>
            <w:fldChar w:fldCharType="begin"/>
          </w:r>
          <w:r>
            <w:instrText xml:space="preserve"> PAGEREF _Toc8702 \h </w:instrText>
          </w:r>
          <w:r>
            <w:fldChar w:fldCharType="separate"/>
          </w:r>
          <w:r>
            <w:t>6</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_Toc20262 </w:instrText>
          </w:r>
          <w:r>
            <w:rPr>
              <w:szCs w:val="24"/>
            </w:rPr>
            <w:fldChar w:fldCharType="separate"/>
          </w:r>
          <w:r>
            <w:rPr>
              <w:rFonts w:hint="eastAsia"/>
            </w:rPr>
            <w:t>第二部分 毕业生</w:t>
          </w:r>
          <w:r>
            <w:rPr>
              <w:rFonts w:hint="eastAsia"/>
              <w:lang w:val="en-US" w:eastAsia="zh-CN"/>
            </w:rPr>
            <w:t>去向落实</w:t>
          </w:r>
          <w:r>
            <w:rPr>
              <w:rFonts w:hint="eastAsia"/>
            </w:rPr>
            <w:t>情况</w:t>
          </w:r>
          <w:r>
            <w:tab/>
          </w:r>
          <w:r>
            <w:fldChar w:fldCharType="begin"/>
          </w:r>
          <w:r>
            <w:instrText xml:space="preserve"> PAGEREF _Toc20262 \h </w:instrText>
          </w:r>
          <w:r>
            <w:fldChar w:fldCharType="separate"/>
          </w:r>
          <w:r>
            <w:t>7</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_Toc29948 </w:instrText>
          </w:r>
          <w:r>
            <w:rPr>
              <w:szCs w:val="24"/>
            </w:rPr>
            <w:fldChar w:fldCharType="separate"/>
          </w:r>
          <w:r>
            <w:rPr>
              <w:rFonts w:hint="eastAsia" w:ascii="宋体" w:hAnsi="宋体" w:cs="宋体"/>
              <w:bCs/>
              <w:szCs w:val="28"/>
            </w:rPr>
            <w:t>一、 毕业生</w:t>
          </w:r>
          <w:r>
            <w:rPr>
              <w:rFonts w:hint="eastAsia" w:ascii="宋体" w:hAnsi="宋体" w:cs="宋体"/>
              <w:bCs/>
              <w:szCs w:val="28"/>
              <w:lang w:val="en-US" w:eastAsia="zh-CN"/>
            </w:rPr>
            <w:t>初次</w:t>
          </w:r>
          <w:r>
            <w:rPr>
              <w:rFonts w:hint="eastAsia" w:ascii="宋体" w:hAnsi="宋体" w:cs="宋体"/>
              <w:bCs/>
              <w:szCs w:val="28"/>
              <w:lang w:eastAsia="zh-CN"/>
            </w:rPr>
            <w:t>毕业去向落实率</w:t>
          </w:r>
          <w:r>
            <w:tab/>
          </w:r>
          <w:r>
            <w:fldChar w:fldCharType="begin"/>
          </w:r>
          <w:r>
            <w:instrText xml:space="preserve"> PAGEREF _Toc29948 \h </w:instrText>
          </w:r>
          <w:r>
            <w:fldChar w:fldCharType="separate"/>
          </w:r>
          <w:r>
            <w:t>7</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_Toc23231 </w:instrText>
          </w:r>
          <w:r>
            <w:rPr>
              <w:szCs w:val="24"/>
            </w:rPr>
            <w:fldChar w:fldCharType="separate"/>
          </w:r>
          <w:r>
            <w:rPr>
              <w:rFonts w:hint="eastAsia" w:ascii="宋体" w:hAnsi="宋体" w:cs="宋体"/>
              <w:bCs/>
              <w:szCs w:val="28"/>
            </w:rPr>
            <w:t xml:space="preserve">二、 </w:t>
          </w:r>
          <w:r>
            <w:rPr>
              <w:rFonts w:hint="eastAsia" w:ascii="宋体" w:hAnsi="宋体" w:cs="宋体"/>
              <w:bCs/>
              <w:szCs w:val="28"/>
              <w:lang w:val="en-US" w:eastAsia="zh-CN"/>
            </w:rPr>
            <w:t>初次就业七率统计</w:t>
          </w:r>
          <w:r>
            <w:tab/>
          </w:r>
          <w:r>
            <w:fldChar w:fldCharType="begin"/>
          </w:r>
          <w:r>
            <w:instrText xml:space="preserve"> PAGEREF _Toc23231 \h </w:instrText>
          </w:r>
          <w:r>
            <w:fldChar w:fldCharType="separate"/>
          </w:r>
          <w:r>
            <w:t>8</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_Toc17938 </w:instrText>
          </w:r>
          <w:r>
            <w:rPr>
              <w:szCs w:val="24"/>
            </w:rPr>
            <w:fldChar w:fldCharType="separate"/>
          </w:r>
          <w:r>
            <w:rPr>
              <w:rFonts w:hint="default"/>
              <w:szCs w:val="28"/>
              <w:lang w:val="en-US" w:eastAsia="zh-CN"/>
            </w:rPr>
            <w:t xml:space="preserve">三、 </w:t>
          </w:r>
          <w:r>
            <w:rPr>
              <w:rFonts w:hint="eastAsia"/>
              <w:lang w:val="en-US" w:eastAsia="zh-CN"/>
            </w:rPr>
            <w:t>全校毕业生去向落实情况统计</w:t>
          </w:r>
          <w:r>
            <w:tab/>
          </w:r>
          <w:r>
            <w:fldChar w:fldCharType="begin"/>
          </w:r>
          <w:r>
            <w:instrText xml:space="preserve"> PAGEREF _Toc17938 \h </w:instrText>
          </w:r>
          <w:r>
            <w:fldChar w:fldCharType="separate"/>
          </w:r>
          <w:r>
            <w:t>11</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_Toc1775 </w:instrText>
          </w:r>
          <w:r>
            <w:rPr>
              <w:szCs w:val="24"/>
            </w:rPr>
            <w:fldChar w:fldCharType="separate"/>
          </w:r>
          <w:r>
            <w:rPr>
              <w:rFonts w:hint="eastAsia" w:ascii="宋体" w:hAnsi="宋体" w:cs="宋体"/>
              <w:bCs/>
              <w:szCs w:val="28"/>
              <w:lang w:val="en-US" w:eastAsia="zh-CN"/>
            </w:rPr>
            <w:t>四、 专科生毕业</w:t>
          </w:r>
          <w:r>
            <w:rPr>
              <w:rFonts w:hint="eastAsia"/>
              <w:lang w:val="en-US" w:eastAsia="zh-CN"/>
            </w:rPr>
            <w:t>去向落实情况专项统计</w:t>
          </w:r>
          <w:r>
            <w:tab/>
          </w:r>
          <w:r>
            <w:fldChar w:fldCharType="begin"/>
          </w:r>
          <w:r>
            <w:instrText xml:space="preserve"> PAGEREF _Toc1775 \h </w:instrText>
          </w:r>
          <w:r>
            <w:fldChar w:fldCharType="separate"/>
          </w:r>
          <w:r>
            <w:t>14</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_Toc18191 </w:instrText>
          </w:r>
          <w:r>
            <w:rPr>
              <w:szCs w:val="24"/>
            </w:rPr>
            <w:fldChar w:fldCharType="separate"/>
          </w:r>
          <w:r>
            <w:rPr>
              <w:rFonts w:hint="eastAsia" w:ascii="宋体" w:hAnsi="宋体" w:cs="宋体"/>
              <w:bCs/>
              <w:szCs w:val="28"/>
              <w:lang w:val="en-US" w:eastAsia="zh-CN"/>
            </w:rPr>
            <w:t>五、 特殊群体</w:t>
          </w:r>
          <w:r>
            <w:rPr>
              <w:rFonts w:hint="eastAsia"/>
              <w:lang w:val="en-US" w:eastAsia="zh-CN"/>
            </w:rPr>
            <w:t>去向落实情况专项统计</w:t>
          </w:r>
          <w:r>
            <w:tab/>
          </w:r>
          <w:r>
            <w:fldChar w:fldCharType="begin"/>
          </w:r>
          <w:r>
            <w:instrText xml:space="preserve"> PAGEREF _Toc18191 \h </w:instrText>
          </w:r>
          <w:r>
            <w:fldChar w:fldCharType="separate"/>
          </w:r>
          <w:r>
            <w:t>17</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_Toc27429 </w:instrText>
          </w:r>
          <w:r>
            <w:rPr>
              <w:szCs w:val="24"/>
            </w:rPr>
            <w:fldChar w:fldCharType="separate"/>
          </w:r>
          <w:r>
            <w:rPr>
              <w:rFonts w:hint="eastAsia"/>
              <w:lang w:val="en-US" w:eastAsia="zh-CN"/>
            </w:rPr>
            <w:t>第三部分 毕业生去向落实情况</w:t>
          </w:r>
          <w:r>
            <w:rPr>
              <w:rFonts w:hint="eastAsia"/>
            </w:rPr>
            <w:t>分析</w:t>
          </w:r>
          <w:r>
            <w:tab/>
          </w:r>
          <w:r>
            <w:fldChar w:fldCharType="begin"/>
          </w:r>
          <w:r>
            <w:instrText xml:space="preserve"> PAGEREF _Toc27429 \h </w:instrText>
          </w:r>
          <w:r>
            <w:fldChar w:fldCharType="separate"/>
          </w:r>
          <w:r>
            <w:t>18</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_Toc8946 </w:instrText>
          </w:r>
          <w:r>
            <w:rPr>
              <w:szCs w:val="24"/>
            </w:rPr>
            <w:fldChar w:fldCharType="separate"/>
          </w:r>
          <w:r>
            <w:rPr>
              <w:rFonts w:hint="eastAsia" w:ascii="宋体" w:hAnsi="宋体" w:cs="宋体"/>
              <w:bCs/>
              <w:szCs w:val="28"/>
              <w:lang w:val="en-US" w:eastAsia="zh-CN"/>
            </w:rPr>
            <w:t>一、 毕业去向分布</w:t>
          </w:r>
          <w:r>
            <w:tab/>
          </w:r>
          <w:r>
            <w:fldChar w:fldCharType="begin"/>
          </w:r>
          <w:r>
            <w:instrText xml:space="preserve"> PAGEREF _Toc8946 \h </w:instrText>
          </w:r>
          <w:r>
            <w:fldChar w:fldCharType="separate"/>
          </w:r>
          <w:r>
            <w:t>18</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_Toc8270 </w:instrText>
          </w:r>
          <w:r>
            <w:rPr>
              <w:szCs w:val="24"/>
            </w:rPr>
            <w:fldChar w:fldCharType="separate"/>
          </w:r>
          <w:r>
            <w:rPr>
              <w:rFonts w:hint="eastAsia" w:ascii="宋体" w:hAnsi="宋体" w:cs="宋体"/>
              <w:bCs/>
              <w:szCs w:val="28"/>
              <w:lang w:val="en-US" w:eastAsia="zh-CN"/>
            </w:rPr>
            <w:t>二、 单位行业分布</w:t>
          </w:r>
          <w:r>
            <w:tab/>
          </w:r>
          <w:r>
            <w:fldChar w:fldCharType="begin"/>
          </w:r>
          <w:r>
            <w:instrText xml:space="preserve"> PAGEREF _Toc8270 \h </w:instrText>
          </w:r>
          <w:r>
            <w:fldChar w:fldCharType="separate"/>
          </w:r>
          <w:r>
            <w:t>18</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_Toc18212 </w:instrText>
          </w:r>
          <w:r>
            <w:rPr>
              <w:szCs w:val="24"/>
            </w:rPr>
            <w:fldChar w:fldCharType="separate"/>
          </w:r>
          <w:r>
            <w:rPr>
              <w:rFonts w:hint="eastAsia" w:ascii="宋体" w:hAnsi="宋体" w:cs="宋体"/>
              <w:bCs/>
              <w:szCs w:val="28"/>
              <w:lang w:val="en-US" w:eastAsia="zh-CN"/>
            </w:rPr>
            <w:t>三、 单位性质分布</w:t>
          </w:r>
          <w:r>
            <w:tab/>
          </w:r>
          <w:r>
            <w:fldChar w:fldCharType="begin"/>
          </w:r>
          <w:r>
            <w:instrText xml:space="preserve"> PAGEREF _Toc18212 \h </w:instrText>
          </w:r>
          <w:r>
            <w:fldChar w:fldCharType="separate"/>
          </w:r>
          <w:r>
            <w:t>20</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_Toc3665 </w:instrText>
          </w:r>
          <w:r>
            <w:rPr>
              <w:szCs w:val="24"/>
            </w:rPr>
            <w:fldChar w:fldCharType="separate"/>
          </w:r>
          <w:r>
            <w:rPr>
              <w:rFonts w:hint="eastAsia" w:ascii="宋体" w:hAnsi="宋体" w:cs="宋体"/>
              <w:bCs/>
              <w:szCs w:val="28"/>
              <w:lang w:val="en-US" w:eastAsia="zh-CN"/>
            </w:rPr>
            <w:t>四、 工作岗位分布</w:t>
          </w:r>
          <w:r>
            <w:tab/>
          </w:r>
          <w:r>
            <w:fldChar w:fldCharType="begin"/>
          </w:r>
          <w:r>
            <w:instrText xml:space="preserve"> PAGEREF _Toc3665 \h </w:instrText>
          </w:r>
          <w:r>
            <w:fldChar w:fldCharType="separate"/>
          </w:r>
          <w:r>
            <w:t>20</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_Toc31854 </w:instrText>
          </w:r>
          <w:r>
            <w:rPr>
              <w:szCs w:val="24"/>
            </w:rPr>
            <w:fldChar w:fldCharType="separate"/>
          </w:r>
          <w:r>
            <w:rPr>
              <w:rFonts w:hint="eastAsia" w:ascii="宋体" w:hAnsi="宋体" w:cs="宋体"/>
              <w:bCs/>
              <w:szCs w:val="28"/>
            </w:rPr>
            <w:t xml:space="preserve">五、 </w:t>
          </w:r>
          <w:r>
            <w:rPr>
              <w:rFonts w:hint="eastAsia" w:ascii="宋体" w:hAnsi="宋体" w:cs="宋体"/>
              <w:bCs/>
              <w:szCs w:val="28"/>
              <w:lang w:val="en-US" w:eastAsia="zh-CN"/>
            </w:rPr>
            <w:t>就业地域流向分析</w:t>
          </w:r>
          <w:r>
            <w:tab/>
          </w:r>
          <w:r>
            <w:fldChar w:fldCharType="begin"/>
          </w:r>
          <w:r>
            <w:instrText xml:space="preserve"> PAGEREF _Toc31854 \h </w:instrText>
          </w:r>
          <w:r>
            <w:fldChar w:fldCharType="separate"/>
          </w:r>
          <w:r>
            <w:t>21</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_Toc17173 </w:instrText>
          </w:r>
          <w:r>
            <w:rPr>
              <w:szCs w:val="24"/>
            </w:rPr>
            <w:fldChar w:fldCharType="separate"/>
          </w:r>
          <w:r>
            <w:rPr>
              <w:rFonts w:hint="eastAsia"/>
              <w:szCs w:val="28"/>
              <w:lang w:val="en-US" w:eastAsia="zh-CN"/>
            </w:rPr>
            <w:t xml:space="preserve">六、 </w:t>
          </w:r>
          <w:r>
            <w:rPr>
              <w:rFonts w:hint="eastAsia" w:ascii="宋体" w:hAnsi="宋体" w:cs="宋体"/>
              <w:bCs/>
              <w:szCs w:val="28"/>
              <w:lang w:val="en-US" w:eastAsia="zh-CN"/>
            </w:rPr>
            <w:t>毕业生</w:t>
          </w:r>
          <w:r>
            <w:rPr>
              <w:rFonts w:hint="eastAsia"/>
              <w:lang w:val="en-US" w:eastAsia="zh-CN"/>
            </w:rPr>
            <w:t>留皖就业情况</w:t>
          </w:r>
          <w:r>
            <w:tab/>
          </w:r>
          <w:r>
            <w:fldChar w:fldCharType="begin"/>
          </w:r>
          <w:r>
            <w:instrText xml:space="preserve"> PAGEREF _Toc17173 \h </w:instrText>
          </w:r>
          <w:r>
            <w:fldChar w:fldCharType="separate"/>
          </w:r>
          <w:r>
            <w:t>26</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_Toc26712 </w:instrText>
          </w:r>
          <w:r>
            <w:rPr>
              <w:szCs w:val="24"/>
            </w:rPr>
            <w:fldChar w:fldCharType="separate"/>
          </w:r>
          <w:r>
            <w:rPr>
              <w:rFonts w:hint="eastAsia"/>
              <w:szCs w:val="28"/>
              <w:lang w:val="en-US" w:eastAsia="zh-CN"/>
            </w:rPr>
            <w:t xml:space="preserve">七、 </w:t>
          </w:r>
          <w:r>
            <w:rPr>
              <w:rFonts w:hint="eastAsia" w:ascii="宋体" w:hAnsi="宋体" w:cs="宋体"/>
              <w:bCs/>
              <w:szCs w:val="28"/>
              <w:lang w:val="en-US" w:eastAsia="zh-CN"/>
            </w:rPr>
            <w:t>毕业生</w:t>
          </w:r>
          <w:r>
            <w:rPr>
              <w:rFonts w:hint="eastAsia"/>
              <w:lang w:val="en-US" w:eastAsia="zh-CN"/>
            </w:rPr>
            <w:t>人才回报情况</w:t>
          </w:r>
          <w:r>
            <w:tab/>
          </w:r>
          <w:r>
            <w:fldChar w:fldCharType="begin"/>
          </w:r>
          <w:r>
            <w:instrText xml:space="preserve"> PAGEREF _Toc26712 \h </w:instrText>
          </w:r>
          <w:r>
            <w:fldChar w:fldCharType="separate"/>
          </w:r>
          <w:r>
            <w:t>28</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_Toc18521 </w:instrText>
          </w:r>
          <w:r>
            <w:rPr>
              <w:szCs w:val="24"/>
            </w:rPr>
            <w:fldChar w:fldCharType="separate"/>
          </w:r>
          <w:r>
            <w:rPr>
              <w:rFonts w:hint="eastAsia"/>
              <w:szCs w:val="28"/>
              <w:lang w:val="en-US" w:eastAsia="zh-CN"/>
            </w:rPr>
            <w:t xml:space="preserve">八、 </w:t>
          </w:r>
          <w:r>
            <w:rPr>
              <w:rFonts w:hint="eastAsia" w:ascii="宋体" w:hAnsi="宋体" w:cs="宋体"/>
              <w:bCs/>
              <w:szCs w:val="28"/>
              <w:lang w:val="en-US" w:eastAsia="zh-CN"/>
            </w:rPr>
            <w:t>毕业生</w:t>
          </w:r>
          <w:r>
            <w:rPr>
              <w:rFonts w:hint="eastAsia"/>
              <w:lang w:val="en-US" w:eastAsia="zh-CN"/>
            </w:rPr>
            <w:t>回流就业情况</w:t>
          </w:r>
          <w:r>
            <w:tab/>
          </w:r>
          <w:r>
            <w:fldChar w:fldCharType="begin"/>
          </w:r>
          <w:r>
            <w:instrText xml:space="preserve"> PAGEREF _Toc18521 \h </w:instrText>
          </w:r>
          <w:r>
            <w:fldChar w:fldCharType="separate"/>
          </w:r>
          <w:r>
            <w:t>30</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_Toc18094 </w:instrText>
          </w:r>
          <w:r>
            <w:rPr>
              <w:szCs w:val="24"/>
            </w:rPr>
            <w:fldChar w:fldCharType="separate"/>
          </w:r>
          <w:r>
            <w:rPr>
              <w:rFonts w:hint="eastAsia"/>
              <w:szCs w:val="28"/>
              <w:lang w:val="en-US" w:eastAsia="zh-CN"/>
            </w:rPr>
            <w:t xml:space="preserve">九、 </w:t>
          </w:r>
          <w:r>
            <w:rPr>
              <w:rFonts w:hint="eastAsia"/>
              <w:lang w:val="en-US" w:eastAsia="zh-CN"/>
            </w:rPr>
            <w:t>毕业生在重点单位重点行业就业情况</w:t>
          </w:r>
          <w:r>
            <w:tab/>
          </w:r>
          <w:r>
            <w:fldChar w:fldCharType="begin"/>
          </w:r>
          <w:r>
            <w:instrText xml:space="preserve"> PAGEREF _Toc18094 \h </w:instrText>
          </w:r>
          <w:r>
            <w:fldChar w:fldCharType="separate"/>
          </w:r>
          <w:r>
            <w:t>31</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_Toc1941 </w:instrText>
          </w:r>
          <w:r>
            <w:rPr>
              <w:szCs w:val="24"/>
            </w:rPr>
            <w:fldChar w:fldCharType="separate"/>
          </w:r>
          <w:r>
            <w:rPr>
              <w:rFonts w:hint="eastAsia"/>
            </w:rPr>
            <w:t>第</w:t>
          </w:r>
          <w:r>
            <w:rPr>
              <w:rFonts w:hint="eastAsia"/>
              <w:lang w:val="en-US" w:eastAsia="zh-CN"/>
            </w:rPr>
            <w:t>四</w:t>
          </w:r>
          <w:r>
            <w:rPr>
              <w:rFonts w:hint="eastAsia"/>
            </w:rPr>
            <w:t xml:space="preserve">部分 </w:t>
          </w:r>
          <w:r>
            <w:rPr>
              <w:rFonts w:hint="eastAsia"/>
              <w:lang w:eastAsia="zh-CN"/>
            </w:rPr>
            <w:t>毕业生</w:t>
          </w:r>
          <w:r>
            <w:rPr>
              <w:rFonts w:hint="eastAsia"/>
              <w:lang w:val="en-US" w:eastAsia="zh-CN"/>
            </w:rPr>
            <w:t>升学</w:t>
          </w:r>
          <w:r>
            <w:rPr>
              <w:rFonts w:hint="eastAsia"/>
            </w:rPr>
            <w:t>情况</w:t>
          </w:r>
          <w:r>
            <w:tab/>
          </w:r>
          <w:r>
            <w:fldChar w:fldCharType="begin"/>
          </w:r>
          <w:r>
            <w:instrText xml:space="preserve"> PAGEREF _Toc1941 \h </w:instrText>
          </w:r>
          <w:r>
            <w:fldChar w:fldCharType="separate"/>
          </w:r>
          <w:r>
            <w:t>33</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_Toc3169 </w:instrText>
          </w:r>
          <w:r>
            <w:rPr>
              <w:szCs w:val="24"/>
            </w:rPr>
            <w:fldChar w:fldCharType="separate"/>
          </w:r>
          <w:r>
            <w:rPr>
              <w:rFonts w:hint="eastAsia"/>
              <w:lang w:val="en-US" w:eastAsia="zh-CN"/>
            </w:rPr>
            <w:t>第五部分 毕业生对教育教学的反馈</w:t>
          </w:r>
          <w:r>
            <w:tab/>
          </w:r>
          <w:r>
            <w:fldChar w:fldCharType="begin"/>
          </w:r>
          <w:r>
            <w:instrText xml:space="preserve"> PAGEREF _Toc3169 \h </w:instrText>
          </w:r>
          <w:r>
            <w:fldChar w:fldCharType="separate"/>
          </w:r>
          <w:r>
            <w:t>35</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_Toc30185 </w:instrText>
          </w:r>
          <w:r>
            <w:rPr>
              <w:szCs w:val="24"/>
            </w:rPr>
            <w:fldChar w:fldCharType="separate"/>
          </w:r>
          <w:r>
            <w:rPr>
              <w:rFonts w:hint="eastAsia"/>
              <w:szCs w:val="28"/>
              <w:lang w:val="en-US" w:eastAsia="zh-CN"/>
            </w:rPr>
            <w:t xml:space="preserve">一、 </w:t>
          </w:r>
          <w:r>
            <w:rPr>
              <w:rFonts w:hint="eastAsia"/>
              <w:lang w:val="en-US" w:eastAsia="zh-CN"/>
            </w:rPr>
            <w:t>毕业生求职状况分析</w:t>
          </w:r>
          <w:r>
            <w:tab/>
          </w:r>
          <w:r>
            <w:fldChar w:fldCharType="begin"/>
          </w:r>
          <w:r>
            <w:instrText xml:space="preserve"> PAGEREF _Toc30185 \h </w:instrText>
          </w:r>
          <w:r>
            <w:fldChar w:fldCharType="separate"/>
          </w:r>
          <w:r>
            <w:t>37</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_Toc9784 </w:instrText>
          </w:r>
          <w:r>
            <w:rPr>
              <w:szCs w:val="24"/>
            </w:rPr>
            <w:fldChar w:fldCharType="separate"/>
          </w:r>
          <w:r>
            <w:rPr>
              <w:rFonts w:hint="eastAsia"/>
              <w:szCs w:val="28"/>
              <w:lang w:val="en-US" w:eastAsia="zh-CN"/>
            </w:rPr>
            <w:t xml:space="preserve">二、 </w:t>
          </w:r>
          <w:r>
            <w:rPr>
              <w:rFonts w:hint="eastAsia"/>
              <w:lang w:val="en-US" w:eastAsia="zh-CN"/>
            </w:rPr>
            <w:t>毕业生求职过程分析</w:t>
          </w:r>
          <w:r>
            <w:tab/>
          </w:r>
          <w:r>
            <w:fldChar w:fldCharType="begin"/>
          </w:r>
          <w:r>
            <w:instrText xml:space="preserve"> PAGEREF _Toc9784 \h </w:instrText>
          </w:r>
          <w:r>
            <w:fldChar w:fldCharType="separate"/>
          </w:r>
          <w:r>
            <w:t>42</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_Toc4228 </w:instrText>
          </w:r>
          <w:r>
            <w:rPr>
              <w:szCs w:val="24"/>
            </w:rPr>
            <w:fldChar w:fldCharType="separate"/>
          </w:r>
          <w:r>
            <w:rPr>
              <w:rFonts w:hint="eastAsia"/>
              <w:szCs w:val="28"/>
              <w:lang w:val="en-US" w:eastAsia="zh-CN"/>
            </w:rPr>
            <w:t xml:space="preserve">三、 </w:t>
          </w:r>
          <w:r>
            <w:rPr>
              <w:rFonts w:hint="eastAsia"/>
              <w:lang w:val="en-US" w:eastAsia="zh-CN"/>
            </w:rPr>
            <w:t>毕业生就职分析</w:t>
          </w:r>
          <w:r>
            <w:tab/>
          </w:r>
          <w:r>
            <w:fldChar w:fldCharType="begin"/>
          </w:r>
          <w:r>
            <w:instrText xml:space="preserve"> PAGEREF _Toc4228 \h </w:instrText>
          </w:r>
          <w:r>
            <w:fldChar w:fldCharType="separate"/>
          </w:r>
          <w:r>
            <w:t>52</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_Toc23078 </w:instrText>
          </w:r>
          <w:r>
            <w:rPr>
              <w:szCs w:val="24"/>
            </w:rPr>
            <w:fldChar w:fldCharType="separate"/>
          </w:r>
          <w:r>
            <w:rPr>
              <w:rFonts w:hint="eastAsia"/>
              <w:szCs w:val="28"/>
              <w:lang w:val="en-US" w:eastAsia="zh-CN"/>
            </w:rPr>
            <w:t xml:space="preserve">四、 </w:t>
          </w:r>
          <w:r>
            <w:rPr>
              <w:rFonts w:hint="eastAsia"/>
              <w:lang w:val="en-US" w:eastAsia="zh-CN"/>
            </w:rPr>
            <w:t>毕业生升学状况分析</w:t>
          </w:r>
          <w:r>
            <w:tab/>
          </w:r>
          <w:r>
            <w:fldChar w:fldCharType="begin"/>
          </w:r>
          <w:r>
            <w:instrText xml:space="preserve"> PAGEREF _Toc23078 \h </w:instrText>
          </w:r>
          <w:r>
            <w:fldChar w:fldCharType="separate"/>
          </w:r>
          <w:r>
            <w:t>65</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_Toc13599 </w:instrText>
          </w:r>
          <w:r>
            <w:rPr>
              <w:szCs w:val="24"/>
            </w:rPr>
            <w:fldChar w:fldCharType="separate"/>
          </w:r>
          <w:r>
            <w:rPr>
              <w:rFonts w:hint="default"/>
              <w:szCs w:val="28"/>
              <w:lang w:val="en-US" w:eastAsia="zh-CN"/>
            </w:rPr>
            <w:t xml:space="preserve">五、 </w:t>
          </w:r>
          <w:r>
            <w:rPr>
              <w:rFonts w:hint="eastAsia"/>
              <w:lang w:val="en-US" w:eastAsia="zh-CN"/>
            </w:rPr>
            <w:t>毕业生自由职业情况分析</w:t>
          </w:r>
          <w:r>
            <w:tab/>
          </w:r>
          <w:r>
            <w:fldChar w:fldCharType="begin"/>
          </w:r>
          <w:r>
            <w:instrText xml:space="preserve"> PAGEREF _Toc13599 \h </w:instrText>
          </w:r>
          <w:r>
            <w:fldChar w:fldCharType="separate"/>
          </w:r>
          <w:r>
            <w:t>69</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_Toc18504 </w:instrText>
          </w:r>
          <w:r>
            <w:rPr>
              <w:szCs w:val="24"/>
            </w:rPr>
            <w:fldChar w:fldCharType="separate"/>
          </w:r>
          <w:r>
            <w:rPr>
              <w:rFonts w:hint="eastAsia"/>
              <w:szCs w:val="28"/>
              <w:lang w:val="en-US" w:eastAsia="zh-CN"/>
            </w:rPr>
            <w:t xml:space="preserve">六、 </w:t>
          </w:r>
          <w:r>
            <w:rPr>
              <w:rFonts w:hint="eastAsia"/>
              <w:lang w:val="en-US" w:eastAsia="zh-CN"/>
            </w:rPr>
            <w:t>毕业生未就业分析</w:t>
          </w:r>
          <w:r>
            <w:tab/>
          </w:r>
          <w:r>
            <w:fldChar w:fldCharType="begin"/>
          </w:r>
          <w:r>
            <w:instrText xml:space="preserve"> PAGEREF _Toc18504 \h </w:instrText>
          </w:r>
          <w:r>
            <w:fldChar w:fldCharType="separate"/>
          </w:r>
          <w:r>
            <w:t>71</w:t>
          </w:r>
          <w:r>
            <w:fldChar w:fldCharType="end"/>
          </w:r>
          <w:r>
            <w:rPr>
              <w:szCs w:val="24"/>
            </w:rPr>
            <w:fldChar w:fldCharType="end"/>
          </w:r>
        </w:p>
        <w:p>
          <w:pPr>
            <w:pStyle w:val="14"/>
            <w:tabs>
              <w:tab w:val="right" w:leader="dot" w:pos="8600"/>
            </w:tabs>
            <w:rPr>
              <w:szCs w:val="24"/>
            </w:rPr>
            <w:sectPr>
              <w:headerReference r:id="rId5" w:type="default"/>
              <w:footerReference r:id="rId6" w:type="default"/>
              <w:pgSz w:w="11910" w:h="16160"/>
              <w:pgMar w:top="1420" w:right="1690" w:bottom="800" w:left="1620" w:header="1146" w:footer="612" w:gutter="0"/>
              <w:pgBorders>
                <w:top w:val="none" w:sz="0" w:space="0"/>
                <w:left w:val="none" w:sz="0" w:space="0"/>
                <w:bottom w:val="none" w:sz="0" w:space="0"/>
                <w:right w:val="none" w:sz="0" w:space="0"/>
              </w:pgBorders>
              <w:pgNumType w:fmt="decimal" w:start="1"/>
              <w:cols w:space="720" w:num="1"/>
            </w:sectPr>
          </w:pPr>
        </w:p>
        <w:p>
          <w:pPr>
            <w:pStyle w:val="14"/>
            <w:tabs>
              <w:tab w:val="right" w:leader="dot" w:pos="8600"/>
            </w:tabs>
          </w:pPr>
          <w:r>
            <w:rPr>
              <w:szCs w:val="24"/>
            </w:rPr>
            <w:fldChar w:fldCharType="begin"/>
          </w:r>
          <w:r>
            <w:rPr>
              <w:szCs w:val="24"/>
            </w:rPr>
            <w:instrText xml:space="preserve"> HYPERLINK \l _Toc32646 </w:instrText>
          </w:r>
          <w:r>
            <w:rPr>
              <w:szCs w:val="24"/>
            </w:rPr>
            <w:fldChar w:fldCharType="separate"/>
          </w:r>
          <w:r>
            <w:rPr>
              <w:rFonts w:hint="eastAsia"/>
              <w:szCs w:val="28"/>
              <w:lang w:val="en-US" w:eastAsia="zh-CN"/>
            </w:rPr>
            <w:t xml:space="preserve">七、 </w:t>
          </w:r>
          <w:r>
            <w:rPr>
              <w:rFonts w:hint="eastAsia"/>
              <w:lang w:val="en-US" w:eastAsia="zh-CN"/>
            </w:rPr>
            <w:t>毕业生满意度分析</w:t>
          </w:r>
          <w:r>
            <w:tab/>
          </w:r>
          <w:r>
            <w:fldChar w:fldCharType="begin"/>
          </w:r>
          <w:r>
            <w:instrText xml:space="preserve"> PAGEREF _Toc32646 \h </w:instrText>
          </w:r>
          <w:r>
            <w:fldChar w:fldCharType="separate"/>
          </w:r>
          <w:r>
            <w:t>72</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_Toc12498 </w:instrText>
          </w:r>
          <w:r>
            <w:rPr>
              <w:szCs w:val="24"/>
            </w:rPr>
            <w:fldChar w:fldCharType="separate"/>
          </w:r>
          <w:r>
            <w:rPr>
              <w:rFonts w:hint="eastAsia"/>
              <w:highlight w:val="none"/>
              <w:lang w:val="en-US" w:eastAsia="zh-CN"/>
            </w:rPr>
            <w:t>第六部分 市场需求状况分析报告</w:t>
          </w:r>
          <w:r>
            <w:tab/>
          </w:r>
          <w:r>
            <w:fldChar w:fldCharType="begin"/>
          </w:r>
          <w:r>
            <w:instrText xml:space="preserve"> PAGEREF _Toc12498 \h </w:instrText>
          </w:r>
          <w:r>
            <w:fldChar w:fldCharType="separate"/>
          </w:r>
          <w:r>
            <w:t>93</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_Toc23625 </w:instrText>
          </w:r>
          <w:r>
            <w:rPr>
              <w:szCs w:val="24"/>
            </w:rPr>
            <w:fldChar w:fldCharType="separate"/>
          </w:r>
          <w:r>
            <w:rPr>
              <w:rFonts w:hint="eastAsia" w:ascii="宋体" w:hAnsi="宋体" w:cs="宋体"/>
              <w:bCs/>
              <w:kern w:val="2"/>
              <w:szCs w:val="28"/>
              <w:lang w:val="en-US" w:eastAsia="zh-CN" w:bidi="ar-SA"/>
            </w:rPr>
            <w:t xml:space="preserve">一、 </w:t>
          </w:r>
          <w:r>
            <w:rPr>
              <w:rFonts w:hint="eastAsia"/>
              <w:highlight w:val="none"/>
              <w:lang w:val="en-US" w:eastAsia="zh-CN"/>
            </w:rPr>
            <w:t>用人单位情况招聘过程分析</w:t>
          </w:r>
          <w:r>
            <w:tab/>
          </w:r>
          <w:r>
            <w:fldChar w:fldCharType="begin"/>
          </w:r>
          <w:r>
            <w:instrText xml:space="preserve"> PAGEREF _Toc23625 \h </w:instrText>
          </w:r>
          <w:r>
            <w:fldChar w:fldCharType="separate"/>
          </w:r>
          <w:r>
            <w:t>93</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_Toc3708 </w:instrText>
          </w:r>
          <w:r>
            <w:rPr>
              <w:szCs w:val="24"/>
            </w:rPr>
            <w:fldChar w:fldCharType="separate"/>
          </w:r>
          <w:r>
            <w:rPr>
              <w:rFonts w:hint="eastAsia"/>
              <w:szCs w:val="28"/>
              <w:lang w:val="en-US" w:eastAsia="zh-CN"/>
            </w:rPr>
            <w:t xml:space="preserve">二、 </w:t>
          </w:r>
          <w:r>
            <w:rPr>
              <w:rFonts w:hint="eastAsia"/>
              <w:highlight w:val="none"/>
              <w:lang w:val="en-US" w:eastAsia="zh-CN"/>
            </w:rPr>
            <w:t>用人单位对教育教学的反馈</w:t>
          </w:r>
          <w:r>
            <w:tab/>
          </w:r>
          <w:r>
            <w:fldChar w:fldCharType="begin"/>
          </w:r>
          <w:r>
            <w:instrText xml:space="preserve"> PAGEREF _Toc3708 \h </w:instrText>
          </w:r>
          <w:r>
            <w:fldChar w:fldCharType="separate"/>
          </w:r>
          <w:r>
            <w:t>99</w:t>
          </w:r>
          <w:r>
            <w:fldChar w:fldCharType="end"/>
          </w:r>
          <w:r>
            <w:rPr>
              <w:szCs w:val="24"/>
            </w:rPr>
            <w:fldChar w:fldCharType="end"/>
          </w:r>
        </w:p>
        <w:p>
          <w:pPr>
            <w:pStyle w:val="12"/>
            <w:tabs>
              <w:tab w:val="right" w:leader="dot" w:pos="8600"/>
            </w:tabs>
          </w:pPr>
          <w:r>
            <w:rPr>
              <w:szCs w:val="24"/>
            </w:rPr>
            <w:fldChar w:fldCharType="begin"/>
          </w:r>
          <w:r>
            <w:rPr>
              <w:szCs w:val="24"/>
            </w:rPr>
            <w:instrText xml:space="preserve"> HYPERLINK \l _Toc16904 </w:instrText>
          </w:r>
          <w:r>
            <w:rPr>
              <w:szCs w:val="24"/>
            </w:rPr>
            <w:fldChar w:fldCharType="separate"/>
          </w:r>
          <w:r>
            <w:rPr>
              <w:rFonts w:hint="eastAsia"/>
              <w:highlight w:val="none"/>
            </w:rPr>
            <w:t>第</w:t>
          </w:r>
          <w:r>
            <w:rPr>
              <w:rFonts w:hint="eastAsia"/>
              <w:highlight w:val="none"/>
              <w:lang w:val="en-US" w:eastAsia="zh-CN"/>
            </w:rPr>
            <w:t>八</w:t>
          </w:r>
          <w:r>
            <w:rPr>
              <w:rFonts w:hint="eastAsia"/>
              <w:highlight w:val="none"/>
            </w:rPr>
            <w:t>部分 毕业生就业工作的特色举措</w:t>
          </w:r>
          <w:r>
            <w:tab/>
          </w:r>
          <w:r>
            <w:fldChar w:fldCharType="begin"/>
          </w:r>
          <w:r>
            <w:instrText xml:space="preserve"> PAGEREF _Toc16904 \h </w:instrText>
          </w:r>
          <w:r>
            <w:fldChar w:fldCharType="separate"/>
          </w:r>
          <w:r>
            <w:t>106</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_Toc20775 </w:instrText>
          </w:r>
          <w:r>
            <w:rPr>
              <w:szCs w:val="24"/>
            </w:rPr>
            <w:fldChar w:fldCharType="separate"/>
          </w:r>
          <w:r>
            <w:rPr>
              <w:rFonts w:hint="eastAsia" w:ascii="宋体" w:hAnsi="宋体" w:cs="宋体"/>
              <w:bCs/>
              <w:szCs w:val="28"/>
              <w:lang w:val="en-US" w:eastAsia="zh-CN"/>
            </w:rPr>
            <w:t>一、 把毕业生就业工作摆在更加突出位置</w:t>
          </w:r>
          <w:r>
            <w:tab/>
          </w:r>
          <w:r>
            <w:fldChar w:fldCharType="begin"/>
          </w:r>
          <w:r>
            <w:instrText xml:space="preserve"> PAGEREF _Toc20775 \h </w:instrText>
          </w:r>
          <w:r>
            <w:fldChar w:fldCharType="separate"/>
          </w:r>
          <w:r>
            <w:t>106</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_Toc19953 </w:instrText>
          </w:r>
          <w:r>
            <w:rPr>
              <w:szCs w:val="24"/>
            </w:rPr>
            <w:fldChar w:fldCharType="separate"/>
          </w:r>
          <w:r>
            <w:rPr>
              <w:rFonts w:hint="eastAsia" w:ascii="宋体" w:hAnsi="宋体" w:cs="宋体"/>
              <w:bCs/>
              <w:szCs w:val="28"/>
              <w:lang w:val="en-US" w:eastAsia="zh-CN"/>
            </w:rPr>
            <w:t>二、 大力开拓市场化社会化就业渠道</w:t>
          </w:r>
          <w:r>
            <w:tab/>
          </w:r>
          <w:r>
            <w:fldChar w:fldCharType="begin"/>
          </w:r>
          <w:r>
            <w:instrText xml:space="preserve"> PAGEREF _Toc19953 \h </w:instrText>
          </w:r>
          <w:r>
            <w:fldChar w:fldCharType="separate"/>
          </w:r>
          <w:r>
            <w:t>107</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_Toc8913 </w:instrText>
          </w:r>
          <w:r>
            <w:rPr>
              <w:szCs w:val="24"/>
            </w:rPr>
            <w:fldChar w:fldCharType="separate"/>
          </w:r>
          <w:r>
            <w:rPr>
              <w:rFonts w:hint="eastAsia" w:ascii="宋体" w:hAnsi="宋体" w:cs="宋体"/>
              <w:bCs/>
              <w:szCs w:val="28"/>
              <w:lang w:val="en-US" w:eastAsia="zh-CN"/>
            </w:rPr>
            <w:t>三、 充分发挥政策性岗位吸纳作用</w:t>
          </w:r>
          <w:r>
            <w:tab/>
          </w:r>
          <w:r>
            <w:fldChar w:fldCharType="begin"/>
          </w:r>
          <w:r>
            <w:instrText xml:space="preserve"> PAGEREF _Toc8913 \h </w:instrText>
          </w:r>
          <w:r>
            <w:fldChar w:fldCharType="separate"/>
          </w:r>
          <w:r>
            <w:t>107</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_Toc9580 </w:instrText>
          </w:r>
          <w:r>
            <w:rPr>
              <w:szCs w:val="24"/>
            </w:rPr>
            <w:fldChar w:fldCharType="separate"/>
          </w:r>
          <w:r>
            <w:rPr>
              <w:rFonts w:hint="eastAsia" w:ascii="宋体" w:hAnsi="宋体" w:cs="宋体"/>
              <w:bCs/>
              <w:szCs w:val="28"/>
              <w:lang w:val="en-US" w:eastAsia="zh-CN"/>
            </w:rPr>
            <w:t>四、 推进构建高质量就业指导服务体系</w:t>
          </w:r>
          <w:r>
            <w:tab/>
          </w:r>
          <w:r>
            <w:fldChar w:fldCharType="begin"/>
          </w:r>
          <w:r>
            <w:instrText xml:space="preserve"> PAGEREF _Toc9580 \h </w:instrText>
          </w:r>
          <w:r>
            <w:fldChar w:fldCharType="separate"/>
          </w:r>
          <w:r>
            <w:t>108</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_Toc12566 </w:instrText>
          </w:r>
          <w:r>
            <w:rPr>
              <w:szCs w:val="24"/>
            </w:rPr>
            <w:fldChar w:fldCharType="separate"/>
          </w:r>
          <w:r>
            <w:rPr>
              <w:rFonts w:hint="eastAsia" w:ascii="宋体" w:hAnsi="宋体" w:cs="宋体"/>
              <w:bCs/>
              <w:szCs w:val="28"/>
              <w:lang w:val="en-US" w:eastAsia="zh-CN"/>
            </w:rPr>
            <w:t>五、 加强重点群体就业帮扶</w:t>
          </w:r>
          <w:r>
            <w:tab/>
          </w:r>
          <w:r>
            <w:fldChar w:fldCharType="begin"/>
          </w:r>
          <w:r>
            <w:instrText xml:space="preserve"> PAGEREF _Toc12566 \h </w:instrText>
          </w:r>
          <w:r>
            <w:fldChar w:fldCharType="separate"/>
          </w:r>
          <w:r>
            <w:t>109</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_Toc19991 </w:instrText>
          </w:r>
          <w:r>
            <w:rPr>
              <w:szCs w:val="24"/>
            </w:rPr>
            <w:fldChar w:fldCharType="separate"/>
          </w:r>
          <w:r>
            <w:rPr>
              <w:rFonts w:hint="eastAsia" w:ascii="宋体" w:hAnsi="宋体" w:cs="宋体"/>
              <w:bCs/>
              <w:szCs w:val="28"/>
              <w:lang w:val="en-US" w:eastAsia="zh-CN"/>
            </w:rPr>
            <w:t>六、 完善就业监测与评价反馈机制</w:t>
          </w:r>
          <w:r>
            <w:tab/>
          </w:r>
          <w:r>
            <w:fldChar w:fldCharType="begin"/>
          </w:r>
          <w:r>
            <w:instrText xml:space="preserve"> PAGEREF _Toc19991 \h </w:instrText>
          </w:r>
          <w:r>
            <w:fldChar w:fldCharType="separate"/>
          </w:r>
          <w:r>
            <w:t>109</w:t>
          </w:r>
          <w:r>
            <w:fldChar w:fldCharType="end"/>
          </w:r>
          <w:r>
            <w:rPr>
              <w:szCs w:val="24"/>
            </w:rPr>
            <w:fldChar w:fldCharType="end"/>
          </w:r>
        </w:p>
        <w:p>
          <w:pPr>
            <w:pStyle w:val="14"/>
            <w:tabs>
              <w:tab w:val="right" w:leader="dot" w:pos="8600"/>
            </w:tabs>
          </w:pPr>
          <w:r>
            <w:rPr>
              <w:szCs w:val="24"/>
            </w:rPr>
            <w:fldChar w:fldCharType="begin"/>
          </w:r>
          <w:r>
            <w:rPr>
              <w:szCs w:val="24"/>
            </w:rPr>
            <w:instrText xml:space="preserve"> HYPERLINK \l _Toc1998 </w:instrText>
          </w:r>
          <w:r>
            <w:rPr>
              <w:szCs w:val="24"/>
            </w:rPr>
            <w:fldChar w:fldCharType="separate"/>
          </w:r>
          <w:r>
            <w:rPr>
              <w:rFonts w:hint="eastAsia" w:ascii="宋体" w:hAnsi="宋体" w:cs="宋体"/>
              <w:bCs/>
              <w:szCs w:val="28"/>
              <w:lang w:val="en-US" w:eastAsia="zh-CN"/>
            </w:rPr>
            <w:t>七、 加强组织保障</w:t>
          </w:r>
          <w:r>
            <w:tab/>
          </w:r>
          <w:r>
            <w:fldChar w:fldCharType="begin"/>
          </w:r>
          <w:r>
            <w:instrText xml:space="preserve"> PAGEREF _Toc1998 \h </w:instrText>
          </w:r>
          <w:r>
            <w:fldChar w:fldCharType="separate"/>
          </w:r>
          <w:r>
            <w:t>110</w:t>
          </w:r>
          <w:r>
            <w:fldChar w:fldCharType="end"/>
          </w:r>
          <w:r>
            <w:rPr>
              <w:szCs w:val="24"/>
            </w:rPr>
            <w:fldChar w:fldCharType="end"/>
          </w:r>
        </w:p>
        <w:p>
          <w:pPr>
            <w:spacing w:line="360" w:lineRule="auto"/>
          </w:pPr>
          <w:r>
            <w:rPr>
              <w:szCs w:val="24"/>
            </w:rPr>
            <w:fldChar w:fldCharType="end"/>
          </w:r>
        </w:p>
      </w:sdtContent>
    </w:sdt>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bookmarkStart w:id="1" w:name="_Toc26224"/>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sectPr>
          <w:footerReference r:id="rId7" w:type="default"/>
          <w:pgSz w:w="11910" w:h="16160"/>
          <w:pgMar w:top="1420" w:right="1690" w:bottom="800" w:left="1620" w:header="1146" w:footer="612" w:gutter="0"/>
          <w:pgBorders>
            <w:top w:val="none" w:sz="0" w:space="0"/>
            <w:left w:val="none" w:sz="0" w:space="0"/>
            <w:bottom w:val="none" w:sz="0" w:space="0"/>
            <w:right w:val="none" w:sz="0" w:space="0"/>
          </w:pgBorders>
          <w:pgNumType w:fmt="decimal" w:start="1"/>
          <w:cols w:space="720" w:num="1"/>
        </w:sect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r>
        <w:rPr>
          <w:rFonts w:hint="eastAsia" w:ascii="黑体" w:hAnsi="黑体" w:eastAsia="黑体" w:cs="黑体"/>
          <w:b w:val="0"/>
          <w:bCs w:val="0"/>
          <w:sz w:val="44"/>
          <w:szCs w:val="44"/>
        </w:rPr>
        <w:t>引  言</w:t>
      </w:r>
      <w:bookmarkEnd w:id="0"/>
      <w:bookmarkEnd w:id="1"/>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安徽艺术职业学院是省属全日制综合性高等艺术院校，办学历史悠久，前身为创办于1956年的安徽艺术学校，1958年升格为安徽艺术专科学校，1959-1963年成立全日制本科院校——安徽艺术学院；1996年与安徽大学联合创办安徽大学艺术学院；2003年经安徽省人民政府批准将安徽省电影学校并入，成立安徽艺术职业学院。建校67年来，学院肩负着为传承和弘扬优秀文化艺术，培养艺术类专门人才的重任，根植于安徽丰厚的文化土壤，孕育了自身的办学传统和办学特色，成为安徽文化艺术人才培养的基地。 </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 xml:space="preserve">   学院辖宣城路和丹霞路两个校区，在校生含本科、专科、高职三个办学层次。下设音乐学院、舞蹈学院、戏剧与传媒学院、美术学院、综合艺术学院、戏曲学院、马克思主义学院、人文学院、国际与继续教育学院，专业设置有音乐表演、舞蹈表演、美术、设计、戏曲表演、戏剧影视表演、播音与主持等专业大类中的24个高职专业。</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学院英才云集，名师荟萃。200多名在职教师中，具有高级职称70多名。先后聘请周小燕、余秋雨、徐昌俊、崔新琴等40余名国内知名的专家学者为客座教授。在声乐、器乐、舞蹈、戏曲、戏剧、美术设计、影视传媒等专业均拥有一批全省一流水平的中青年教师，多次荣获国家级省级专业赛事大奖和“省级教学名师”“省级教学团队”等荣誉称号。</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在67年的办学历程中，学院为社会培养了众多优秀的艺术人才，许多人已成为国家和省内外专业艺术团体、文化企事业单位的专业骨干和颇有成就的艺术家。其中有我国第一位琵琶女博士李景侠，第一位扬琴女硕士李玲玲，第一位唢呐硕士隋景山，著名作曲家、天津音乐学院原院长徐昌俊，著名民族管乐演奏家吴安明，著名歌唱演员马梅、迟黎明、张燕、王莉，著名歌星解晓东；中国舞蹈家协会原副主席刘敏，中国舞蹈家协会秘书长夏小虎，北京舞蹈学院艺术实践中心主任胡淮北，中央芭蕾舞团首席编导费波；黄梅戏“五朵金花”马兰、吴琼、杨俊、袁玫、吴亚玲，梅花奖得主黄新德、李龙斌、蒋建国、李文、张辉、何云、王丹红、汪育殊；画家朱松发、徐德隆、葛新民、杨国新、焦小健等众多艺术界知名人士。</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学院坚持以人为本，以质立校，坚定不移走高质量内涵式发展道路，不断推进学院教育治理能力现代化，深化新时代教育评价改革，切实提高人才培养质量，走出了一条面向社会需要，适应市场经济发展，具有鲜明办学特色和艺术专业优势的办学新路。近年来，学院承担了多项国家艺术基金、省部级教科研项目，获批多项人才培养项目、校企合作实践教育基地、教学成果奖等，充分彰显学院的专业优势和办学成就。学院注重学生实践能力和创新能力的培养，在文化部文华艺术院校奖“桃李杯”舞蹈大赛、全国职业院校技能大赛、中国校园戏剧节、“荷花奖”全国舞蹈比赛、戏曲“小梅花”比赛、中国青少年戏曲大赛、全国高校数字艺术作品大赛、全国大学生广告艺术大赛等一系列国内重大艺术赛事中获得优异成绩。先后组织学生参加全国第四届体育运动大会开幕式文艺演出、中博会文艺演出、奥运会开幕式的暖场演出、建国60周年花车巡游、第一届和第二届中国农民歌会、庆祝中国共产党成立100周年大型情景史诗《伟大征程》演出；承办安徽省委宣传部、安徽省教育厅、安徽省文化厅主办的“校园大舞台—徽风皖韵进高校”，安徽省委教育工委主办的“宣传贯彻党的十九大精神全省高校巡演”等系列大型文艺演出。学院多次代表国家和安徽省组团出访法国、德国、韩国、乌克兰、波兰等国家和中国台湾、香港等地区，加强了国际间及与海峡两岸的文化交流。</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67年来，学院汇集了安徽文艺界的精英，积淀了厚重的人文底蕴、浓厚的艺术氛围和鲜明的办学特色。面对新的发展机遇和挑战，学院以习近平新时代中国特色社会主义思想为引领，坚持立德树人根本任务，深入贯彻新发展理念，推动教育高质量发展，为加快建设现代化美好安徽培养更多德智体美劳全面发展的高素质艺术人才。</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bookmarkStart w:id="2" w:name="_Toc8095"/>
      <w:bookmarkStart w:id="3" w:name="_Toc26677"/>
      <w:bookmarkStart w:id="4" w:name="_Toc30107"/>
      <w:bookmarkStart w:id="5" w:name="_Toc4462"/>
      <w:bookmarkStart w:id="6" w:name="_Toc9218"/>
      <w:bookmarkStart w:id="7" w:name="_Toc6374"/>
      <w:bookmarkStart w:id="8" w:name="_Toc4376"/>
      <w:r>
        <w:rPr>
          <w:rFonts w:hint="eastAsia" w:ascii="黑体" w:hAnsi="黑体" w:eastAsia="黑体" w:cs="黑体"/>
          <w:b w:val="0"/>
          <w:bCs w:val="0"/>
          <w:sz w:val="44"/>
          <w:szCs w:val="44"/>
          <w:lang w:val="en-US" w:eastAsia="zh-CN"/>
        </w:rPr>
        <w:t>报告说明</w:t>
      </w:r>
      <w:bookmarkEnd w:id="2"/>
      <w:bookmarkEnd w:id="3"/>
      <w:bookmarkEnd w:id="4"/>
      <w:bookmarkEnd w:id="5"/>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为全面反映</w:t>
      </w:r>
      <w:r>
        <w:rPr>
          <w:rFonts w:hint="eastAsia" w:ascii="宋体" w:hAnsi="宋体" w:cs="宋体"/>
          <w:sz w:val="24"/>
          <w:szCs w:val="24"/>
          <w:lang w:val="en-US" w:eastAsia="zh-CN"/>
        </w:rPr>
        <w:t>安徽艺术职业学院 2023届毕业生</w:t>
      </w:r>
      <w:r>
        <w:rPr>
          <w:rFonts w:hint="default" w:ascii="宋体" w:hAnsi="宋体" w:cs="宋体"/>
          <w:sz w:val="24"/>
          <w:szCs w:val="24"/>
          <w:lang w:val="en-US" w:eastAsia="zh-CN"/>
        </w:rPr>
        <w:t>的就业状况，有效构建就业与人才培养良性互动长效机制，学校根据《教育部办公厅关于编制发布高校毕业生就业质量年度报告的通知》（教学厅函〔2013〕25号）要求，编制和正式发布《</w:t>
      </w:r>
      <w:r>
        <w:rPr>
          <w:rFonts w:hint="eastAsia" w:ascii="宋体" w:hAnsi="宋体" w:cs="宋体"/>
          <w:sz w:val="24"/>
          <w:szCs w:val="24"/>
          <w:lang w:val="en-US" w:eastAsia="zh-CN"/>
        </w:rPr>
        <w:t>安徽艺术职业学院 2023届毕业生</w:t>
      </w:r>
      <w:r>
        <w:rPr>
          <w:rFonts w:hint="default" w:ascii="宋体" w:hAnsi="宋体" w:cs="宋体"/>
          <w:sz w:val="24"/>
          <w:szCs w:val="24"/>
          <w:lang w:val="en-US" w:eastAsia="zh-CN"/>
        </w:rPr>
        <w:t>就业质量年度报告》。</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本报告数据来源于</w:t>
      </w:r>
      <w:r>
        <w:rPr>
          <w:rFonts w:hint="eastAsia" w:ascii="宋体" w:hAnsi="宋体" w:cs="宋体"/>
          <w:sz w:val="24"/>
          <w:szCs w:val="24"/>
          <w:lang w:val="en-US" w:eastAsia="zh-CN"/>
        </w:rPr>
        <w:t>各</w:t>
      </w:r>
      <w:r>
        <w:rPr>
          <w:rFonts w:hint="default" w:ascii="宋体" w:hAnsi="宋体" w:cs="宋体"/>
          <w:sz w:val="24"/>
          <w:szCs w:val="24"/>
          <w:lang w:val="en-US" w:eastAsia="zh-CN"/>
        </w:rPr>
        <w:t>方面：</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1.安徽省高校毕业生就业管理信息系统。数据统计截止日期为</w:t>
      </w:r>
      <w:r>
        <w:rPr>
          <w:rFonts w:hint="eastAsia" w:ascii="宋体" w:hAnsi="宋体" w:cs="宋体"/>
          <w:sz w:val="24"/>
          <w:szCs w:val="24"/>
          <w:lang w:val="en-US" w:eastAsia="zh-CN"/>
        </w:rPr>
        <w:t>2023年8月31日</w:t>
      </w:r>
      <w:r>
        <w:rPr>
          <w:rFonts w:hint="default" w:ascii="宋体" w:hAnsi="宋体" w:cs="宋体"/>
          <w:sz w:val="24"/>
          <w:szCs w:val="24"/>
          <w:lang w:val="en-US" w:eastAsia="zh-CN"/>
        </w:rPr>
        <w:t>。所使用的数据主要涉及到</w:t>
      </w:r>
      <w:r>
        <w:rPr>
          <w:rFonts w:hint="eastAsia" w:ascii="宋体" w:hAnsi="宋体" w:cs="宋体"/>
          <w:sz w:val="24"/>
          <w:szCs w:val="24"/>
          <w:lang w:val="en-US" w:eastAsia="zh-CN"/>
        </w:rPr>
        <w:t>2023届</w:t>
      </w:r>
      <w:r>
        <w:rPr>
          <w:rFonts w:hint="default" w:ascii="宋体" w:hAnsi="宋体" w:cs="宋体"/>
          <w:sz w:val="24"/>
          <w:szCs w:val="24"/>
          <w:lang w:val="en-US" w:eastAsia="zh-CN"/>
        </w:rPr>
        <w:t>毕业生的规模与结构、</w:t>
      </w:r>
      <w:r>
        <w:rPr>
          <w:rFonts w:hint="eastAsia" w:ascii="宋体" w:hAnsi="宋体" w:cs="宋体"/>
          <w:sz w:val="24"/>
          <w:szCs w:val="24"/>
          <w:lang w:val="en-US" w:eastAsia="zh-CN"/>
        </w:rPr>
        <w:t>毕业去向落实率</w:t>
      </w:r>
      <w:r>
        <w:rPr>
          <w:rFonts w:hint="default" w:ascii="宋体" w:hAnsi="宋体" w:cs="宋体"/>
          <w:sz w:val="24"/>
          <w:szCs w:val="24"/>
          <w:lang w:val="en-US" w:eastAsia="zh-CN"/>
        </w:rPr>
        <w:t>及毕业去向、就业流向和继续深造等信息；</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r>
        <w:rPr>
          <w:rFonts w:hint="default" w:ascii="宋体" w:hAnsi="宋体" w:cs="宋体"/>
          <w:sz w:val="24"/>
          <w:szCs w:val="24"/>
          <w:lang w:val="en-US" w:eastAsia="zh-CN"/>
        </w:rPr>
        <w:t>2.安徽省大中专毕业生就业指导中心“安徽省</w:t>
      </w:r>
      <w:r>
        <w:rPr>
          <w:rFonts w:hint="eastAsia" w:ascii="宋体" w:hAnsi="宋体" w:cs="宋体"/>
          <w:sz w:val="24"/>
          <w:szCs w:val="24"/>
          <w:lang w:val="en-US" w:eastAsia="zh-CN"/>
        </w:rPr>
        <w:t>2023届</w:t>
      </w:r>
      <w:r>
        <w:rPr>
          <w:rFonts w:hint="default" w:ascii="宋体" w:hAnsi="宋体" w:cs="宋体"/>
          <w:sz w:val="24"/>
          <w:szCs w:val="24"/>
          <w:lang w:val="en-US" w:eastAsia="zh-CN"/>
        </w:rPr>
        <w:t>毕业生就业调查”。调查面向全校所有毕业生，学校共计回收问卷</w:t>
      </w:r>
      <w:r>
        <w:rPr>
          <w:rFonts w:hint="eastAsia" w:ascii="宋体" w:hAnsi="宋体" w:cs="宋体"/>
          <w:sz w:val="24"/>
          <w:szCs w:val="24"/>
          <w:lang w:val="en-US" w:eastAsia="zh-CN"/>
        </w:rPr>
        <w:t>1224</w:t>
      </w:r>
      <w:r>
        <w:rPr>
          <w:rFonts w:hint="default" w:ascii="宋体" w:hAnsi="宋体" w:cs="宋体"/>
          <w:sz w:val="24"/>
          <w:szCs w:val="24"/>
          <w:lang w:val="en-US" w:eastAsia="zh-CN"/>
        </w:rPr>
        <w:t>份，回收率为</w:t>
      </w:r>
      <w:r>
        <w:rPr>
          <w:rFonts w:hint="eastAsia" w:ascii="宋体" w:hAnsi="宋体" w:cs="宋体"/>
          <w:sz w:val="24"/>
          <w:szCs w:val="24"/>
          <w:lang w:val="en-US" w:eastAsia="zh-CN"/>
        </w:rPr>
        <w:t>82.48%</w:t>
      </w:r>
      <w:r>
        <w:rPr>
          <w:rFonts w:hint="default" w:ascii="宋体" w:hAnsi="宋体" w:cs="宋体"/>
          <w:sz w:val="24"/>
          <w:szCs w:val="24"/>
          <w:lang w:val="en-US" w:eastAsia="zh-CN"/>
        </w:rPr>
        <w:t>。使用数据涉及就业质量相关分析及对教育教学、人才培养的反馈等信息。</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3</w:t>
      </w:r>
      <w:r>
        <w:rPr>
          <w:rFonts w:hint="default" w:ascii="宋体" w:hAnsi="宋体" w:cs="宋体"/>
          <w:sz w:val="24"/>
          <w:szCs w:val="24"/>
          <w:lang w:val="en-US" w:eastAsia="zh-CN"/>
        </w:rPr>
        <w:t>.</w:t>
      </w:r>
      <w:r>
        <w:rPr>
          <w:rFonts w:hint="eastAsia" w:ascii="宋体" w:hAnsi="宋体" w:cs="宋体"/>
          <w:sz w:val="24"/>
          <w:szCs w:val="24"/>
          <w:lang w:val="en-US" w:eastAsia="zh-CN"/>
        </w:rPr>
        <w:t>学校委托第三方公司利用“安徽省企事业单位校招服务平台”开展了用人单位问卷调查工作。本次调查共回收有效问卷 192份。</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r>
        <w:rPr>
          <w:rFonts w:hint="default" w:ascii="宋体" w:hAnsi="宋体" w:cs="宋体"/>
          <w:sz w:val="24"/>
          <w:szCs w:val="24"/>
          <w:lang w:val="en-US" w:eastAsia="zh-CN"/>
        </w:rPr>
        <w:t>特此说明。</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left"/>
        <w:textAlignment w:val="auto"/>
        <w:rPr>
          <w:rFonts w:hint="default" w:ascii="宋体" w:hAnsi="宋体" w:cs="宋体"/>
          <w:sz w:val="24"/>
          <w:szCs w:val="24"/>
          <w:lang w:val="en-US" w:eastAsia="zh-CN"/>
        </w:rPr>
      </w:pPr>
    </w:p>
    <w:p>
      <w:pPr>
        <w:pStyle w:val="2"/>
        <w:bidi w:val="0"/>
        <w:rPr>
          <w:rFonts w:hint="eastAsia"/>
        </w:rPr>
      </w:pPr>
      <w:bookmarkStart w:id="9" w:name="_Toc2617"/>
      <w:bookmarkStart w:id="10" w:name="_Toc14577"/>
      <w:bookmarkStart w:id="11" w:name="_Toc3405"/>
      <w:bookmarkStart w:id="12" w:name="_Toc2454"/>
      <w:bookmarkStart w:id="13" w:name="_Toc22222"/>
      <w:bookmarkStart w:id="14" w:name="_Toc17161"/>
      <w:r>
        <w:rPr>
          <w:rFonts w:hint="eastAsia"/>
        </w:rPr>
        <w:t xml:space="preserve">第一部分 </w:t>
      </w:r>
      <w:r>
        <w:rPr>
          <w:rFonts w:hint="eastAsia"/>
          <w:lang w:eastAsia="zh-CN"/>
        </w:rPr>
        <w:t>毕业生</w:t>
      </w:r>
      <w:r>
        <w:rPr>
          <w:rFonts w:hint="eastAsia"/>
        </w:rPr>
        <w:t>基本情况</w:t>
      </w:r>
      <w:bookmarkEnd w:id="6"/>
      <w:bookmarkEnd w:id="7"/>
      <w:bookmarkEnd w:id="8"/>
      <w:bookmarkEnd w:id="9"/>
      <w:bookmarkEnd w:id="10"/>
      <w:bookmarkEnd w:id="11"/>
      <w:bookmarkEnd w:id="12"/>
      <w:bookmarkEnd w:id="13"/>
      <w:bookmarkEnd w:id="14"/>
    </w:p>
    <w:p>
      <w:pPr>
        <w:pStyle w:val="3"/>
        <w:numPr>
          <w:ilvl w:val="0"/>
          <w:numId w:val="1"/>
        </w:numPr>
        <w:bidi w:val="0"/>
        <w:rPr>
          <w:rFonts w:hint="eastAsia"/>
        </w:rPr>
      </w:pPr>
      <w:bookmarkStart w:id="15" w:name="_Toc27931"/>
      <w:bookmarkStart w:id="16" w:name="_Toc12435"/>
      <w:bookmarkStart w:id="17" w:name="_Toc16615"/>
      <w:bookmarkStart w:id="18" w:name="_Toc20621"/>
      <w:bookmarkStart w:id="19" w:name="_Toc27645"/>
      <w:bookmarkStart w:id="20" w:name="_Toc14680"/>
      <w:bookmarkStart w:id="21" w:name="_Toc24795"/>
      <w:bookmarkStart w:id="22" w:name="_Toc24593"/>
      <w:bookmarkStart w:id="23" w:name="_Toc26276"/>
      <w:r>
        <w:rPr>
          <w:rFonts w:hint="eastAsia"/>
        </w:rPr>
        <w:t>毕业生</w:t>
      </w:r>
      <w:bookmarkEnd w:id="15"/>
      <w:r>
        <w:rPr>
          <w:rFonts w:hint="eastAsia"/>
        </w:rPr>
        <w:t>总体情况</w:t>
      </w:r>
      <w:bookmarkEnd w:id="16"/>
      <w:bookmarkEnd w:id="17"/>
      <w:bookmarkEnd w:id="18"/>
      <w:bookmarkEnd w:id="19"/>
      <w:bookmarkEnd w:id="20"/>
      <w:bookmarkEnd w:id="21"/>
      <w:bookmarkEnd w:id="22"/>
      <w:bookmarkEnd w:id="23"/>
    </w:p>
    <w:p>
      <w:pPr>
        <w:bidi w:val="0"/>
        <w:jc w:val="left"/>
        <w:rPr>
          <w:rFonts w:hint="eastAsia"/>
          <w:lang w:val="en-US" w:eastAsia="zh-CN"/>
        </w:rPr>
      </w:pPr>
      <w:r>
        <w:rPr>
          <w:rFonts w:hint="eastAsia"/>
          <w:lang w:val="en-US" w:eastAsia="zh-CN"/>
        </w:rPr>
        <w:t>截止 2023年8月31日</w:t>
      </w:r>
      <w:r>
        <w:rPr>
          <w:rStyle w:val="24"/>
          <w:rFonts w:hint="eastAsia" w:ascii="宋体" w:hAnsi="宋体" w:eastAsia="宋体" w:cs="宋体"/>
          <w:b/>
          <w:bCs/>
          <w:kern w:val="2"/>
          <w:sz w:val="21"/>
          <w:szCs w:val="22"/>
          <w:highlight w:val="none"/>
          <w:vertAlign w:val="superscript"/>
          <w:lang w:val="en-US" w:eastAsia="zh-CN" w:bidi="ar-SA"/>
        </w:rPr>
        <w:footnoteReference w:id="0"/>
      </w:r>
      <w:r>
        <w:rPr>
          <w:rFonts w:hint="eastAsia"/>
          <w:highlight w:val="none"/>
          <w:lang w:val="en-US" w:eastAsia="zh-CN"/>
        </w:rPr>
        <w:t>统计，我校 2023届毕业生共有</w:t>
      </w:r>
      <w:r>
        <w:rPr>
          <w:rFonts w:hint="eastAsia" w:ascii="宋体" w:hAnsi="宋体" w:cs="宋体"/>
          <w:sz w:val="24"/>
          <w:szCs w:val="24"/>
          <w:highlight w:val="none"/>
          <w:lang w:val="en-US" w:eastAsia="zh-CN"/>
        </w:rPr>
        <w:t>1484</w:t>
      </w:r>
      <w:r>
        <w:rPr>
          <w:rFonts w:hint="eastAsia"/>
          <w:highlight w:val="none"/>
          <w:lang w:val="en-US" w:eastAsia="zh-CN"/>
        </w:rPr>
        <w:t>人，其中男生</w:t>
      </w:r>
      <w:r>
        <w:rPr>
          <w:rFonts w:hint="eastAsia" w:ascii="宋体" w:hAnsi="宋体" w:cs="宋体"/>
          <w:sz w:val="24"/>
          <w:szCs w:val="24"/>
          <w:highlight w:val="none"/>
          <w:lang w:val="en-US" w:eastAsia="zh-CN"/>
        </w:rPr>
        <w:t>581</w:t>
      </w:r>
      <w:r>
        <w:rPr>
          <w:rFonts w:hint="eastAsia"/>
          <w:highlight w:val="none"/>
          <w:lang w:val="en-US" w:eastAsia="zh-CN"/>
        </w:rPr>
        <w:t>人，占毕业生总数的</w:t>
      </w:r>
      <w:r>
        <w:rPr>
          <w:rFonts w:hint="eastAsia" w:ascii="宋体" w:hAnsi="宋体" w:cs="宋体"/>
          <w:sz w:val="24"/>
          <w:szCs w:val="24"/>
          <w:highlight w:val="none"/>
          <w:lang w:val="en-US" w:eastAsia="zh-CN"/>
        </w:rPr>
        <w:t>39.15%</w:t>
      </w:r>
      <w:r>
        <w:rPr>
          <w:rFonts w:hint="eastAsia"/>
          <w:highlight w:val="none"/>
          <w:lang w:val="en-US" w:eastAsia="zh-CN"/>
        </w:rPr>
        <w:t>；</w:t>
      </w:r>
      <w:r>
        <w:rPr>
          <w:rFonts w:hint="eastAsia"/>
          <w:lang w:val="en-US" w:eastAsia="zh-CN"/>
        </w:rPr>
        <w:t>女生</w:t>
      </w:r>
      <w:r>
        <w:rPr>
          <w:rFonts w:hint="eastAsia" w:ascii="宋体" w:hAnsi="宋体" w:cs="宋体"/>
          <w:sz w:val="24"/>
          <w:szCs w:val="24"/>
          <w:lang w:val="en-US" w:eastAsia="zh-CN"/>
        </w:rPr>
        <w:t>903</w:t>
      </w:r>
      <w:r>
        <w:rPr>
          <w:rFonts w:hint="eastAsia"/>
          <w:lang w:val="en-US" w:eastAsia="zh-CN"/>
        </w:rPr>
        <w:t>人，占毕业生总数的</w:t>
      </w:r>
      <w:r>
        <w:rPr>
          <w:rFonts w:hint="eastAsia" w:ascii="宋体" w:hAnsi="宋体" w:cs="宋体"/>
          <w:sz w:val="24"/>
          <w:szCs w:val="24"/>
          <w:lang w:val="en-US" w:eastAsia="zh-CN"/>
        </w:rPr>
        <w:t>60.85%</w:t>
      </w:r>
      <w:r>
        <w:rPr>
          <w:rFonts w:hint="eastAsia"/>
          <w:highlight w:val="none"/>
          <w:lang w:val="en-US" w:eastAsia="zh-CN"/>
        </w:rPr>
        <w:t>；</w:t>
      </w:r>
      <w:r>
        <w:rPr>
          <w:rFonts w:hint="eastAsia"/>
          <w:lang w:val="en-US" w:eastAsia="zh-CN"/>
        </w:rPr>
        <w:t>特殊群体毕业生</w:t>
      </w:r>
      <w:r>
        <w:rPr>
          <w:rFonts w:hint="eastAsia" w:ascii="宋体" w:hAnsi="宋体" w:cs="宋体"/>
          <w:sz w:val="24"/>
          <w:szCs w:val="24"/>
          <w:lang w:val="en-US" w:eastAsia="zh-CN"/>
        </w:rPr>
        <w:t>83</w:t>
      </w:r>
      <w:r>
        <w:rPr>
          <w:rFonts w:hint="eastAsia"/>
          <w:lang w:val="en-US" w:eastAsia="zh-CN"/>
        </w:rPr>
        <w:t>人，占全体毕业生的</w:t>
      </w:r>
      <w:r>
        <w:rPr>
          <w:rFonts w:hint="eastAsia" w:ascii="宋体" w:hAnsi="宋体" w:cs="宋体"/>
          <w:sz w:val="24"/>
          <w:szCs w:val="24"/>
          <w:lang w:val="en-US" w:eastAsia="zh-CN"/>
        </w:rPr>
        <w:t>5.59%</w:t>
      </w:r>
      <w:r>
        <w:rPr>
          <w:rFonts w:hint="eastAsia"/>
          <w:lang w:val="en-US" w:eastAsia="zh-CN"/>
        </w:rPr>
        <w:t>。数据详见下表：</w:t>
      </w:r>
    </w:p>
    <w:p>
      <w:pPr>
        <w:pStyle w:val="4"/>
        <w:numPr>
          <w:ilvl w:val="0"/>
          <w:numId w:val="2"/>
        </w:numPr>
        <w:bidi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总体规模与结构</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cs="宋体"/>
          <w:kern w:val="2"/>
          <w:sz w:val="21"/>
          <w:szCs w:val="21"/>
          <w:lang w:val="en-US" w:eastAsia="zh-CN" w:bidi="ar-SA"/>
        </w:rPr>
        <w:t>表：</w:t>
      </w:r>
      <w:r>
        <w:rPr>
          <w:rFonts w:hint="eastAsia" w:ascii="宋体" w:hAnsi="宋体" w:cs="宋体"/>
          <w:sz w:val="21"/>
          <w:szCs w:val="21"/>
          <w:lang w:eastAsia="zh-CN"/>
        </w:rPr>
        <w:t>2023届</w:t>
      </w:r>
      <w:r>
        <w:rPr>
          <w:rFonts w:hint="eastAsia" w:ascii="宋体" w:hAnsi="宋体" w:eastAsia="宋体" w:cs="宋体"/>
          <w:sz w:val="21"/>
          <w:szCs w:val="21"/>
          <w:lang w:eastAsia="zh-CN"/>
        </w:rPr>
        <w:t>毕业生</w:t>
      </w:r>
      <w:r>
        <w:rPr>
          <w:rFonts w:hint="eastAsia" w:ascii="宋体" w:hAnsi="宋体" w:eastAsia="宋体" w:cs="宋体"/>
          <w:sz w:val="21"/>
          <w:szCs w:val="21"/>
          <w:lang w:val="en-US" w:eastAsia="zh-CN"/>
        </w:rPr>
        <w:t>总体规模与结构</w:t>
      </w:r>
      <w:r>
        <w:rPr>
          <w:rFonts w:hint="eastAsia" w:ascii="宋体" w:hAnsi="宋体" w:eastAsia="宋体" w:cs="宋体"/>
          <w:sz w:val="21"/>
          <w:szCs w:val="21"/>
        </w:rPr>
        <w:t>分布</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43"/>
        <w:gridCol w:w="3058"/>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77" w:type="pct"/>
            <w:gridSpan w:val="2"/>
            <w:shd w:val="clear" w:color="auto" w:fill="548DD4"/>
            <w:noWrap w:val="0"/>
            <w:tcMar>
              <w:top w:w="8" w:type="dxa"/>
              <w:left w:w="8" w:type="dxa"/>
              <w:right w:w="8" w:type="dxa"/>
            </w:tcMar>
            <w:vAlign w:val="center"/>
          </w:tcPr>
          <w:p>
            <w:pPr>
              <w:pStyle w:val="38"/>
              <w:bidi w:val="0"/>
              <w:rPr>
                <w:rFonts w:hint="default"/>
                <w:b/>
                <w:bCs/>
                <w:color w:val="FFFFFF"/>
                <w:sz w:val="21"/>
                <w:szCs w:val="21"/>
                <w:lang w:val="en-US" w:eastAsia="zh-CN"/>
              </w:rPr>
            </w:pPr>
            <w:r>
              <w:rPr>
                <w:rFonts w:hint="eastAsia"/>
                <w:b/>
                <w:bCs/>
                <w:color w:val="FFFFFF"/>
                <w:sz w:val="21"/>
                <w:szCs w:val="21"/>
                <w:lang w:val="en-US" w:eastAsia="zh-CN"/>
              </w:rPr>
              <w:t>类别</w:t>
            </w:r>
          </w:p>
        </w:tc>
        <w:tc>
          <w:tcPr>
            <w:tcW w:w="961" w:type="pct"/>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人数</w:t>
            </w:r>
          </w:p>
        </w:tc>
        <w:tc>
          <w:tcPr>
            <w:tcW w:w="961" w:type="pct"/>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性别</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男生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581</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女生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903</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60.85%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政治面貌</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中共党员</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41</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中共预备党员</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45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共青团员</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765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51.55%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群众</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633</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42.65%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民族</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汉族</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1460</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回族</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18</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其他少族</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6</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区域</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省内</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1455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98.05%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省外</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29</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困难生群体</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脱贫家庭</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55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城乡低保</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34</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孤儿</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残疾生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零就业家庭</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其他困难群体</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6</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师范生类别</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非师范生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1484</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100.00%</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pStyle w:val="4"/>
        <w:numPr>
          <w:ilvl w:val="0"/>
          <w:numId w:val="2"/>
        </w:numPr>
        <w:bidi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毕业生专业分布</w:t>
      </w:r>
    </w:p>
    <w:p>
      <w:pPr>
        <w:pStyle w:val="6"/>
        <w:bidi w:val="0"/>
        <w:jc w:val="left"/>
        <w:rPr>
          <w:rFonts w:hint="eastAsia"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2023届</w:t>
      </w:r>
      <w:r>
        <w:rPr>
          <w:rFonts w:hint="eastAsia" w:ascii="Times New Roman" w:hAnsi="Times New Roman" w:eastAsia="宋体" w:cs="Times New Roman"/>
          <w:kern w:val="2"/>
          <w:sz w:val="24"/>
          <w:szCs w:val="22"/>
          <w:lang w:val="en-US" w:eastAsia="zh-CN" w:bidi="ar-SA"/>
        </w:rPr>
        <w:t>毕业生共有</w:t>
      </w:r>
      <w:r>
        <w:rPr>
          <w:rFonts w:hint="eastAsia" w:ascii="宋体" w:hAnsi="宋体" w:cs="宋体"/>
          <w:sz w:val="24"/>
          <w:szCs w:val="24"/>
          <w:lang w:val="en-US" w:eastAsia="zh-CN"/>
        </w:rPr>
        <w:t>7院系分布在23</w:t>
      </w:r>
      <w:r>
        <w:rPr>
          <w:rFonts w:hint="eastAsia" w:ascii="Times New Roman" w:hAnsi="Times New Roman" w:eastAsia="宋体" w:cs="Times New Roman"/>
          <w:kern w:val="2"/>
          <w:sz w:val="24"/>
          <w:szCs w:val="22"/>
          <w:lang w:val="en-US" w:eastAsia="zh-CN" w:bidi="ar-SA"/>
        </w:rPr>
        <w:t>个专业</w:t>
      </w:r>
      <w:r>
        <w:rPr>
          <w:rFonts w:hint="eastAsia" w:cs="Times New Roman"/>
          <w:kern w:val="2"/>
          <w:sz w:val="24"/>
          <w:szCs w:val="22"/>
          <w:lang w:val="en-US" w:eastAsia="zh-CN" w:bidi="ar-SA"/>
        </w:rPr>
        <w:t>，</w:t>
      </w:r>
      <w:r>
        <w:rPr>
          <w:rFonts w:hint="eastAsia" w:ascii="Times New Roman" w:hAnsi="Times New Roman" w:eastAsia="宋体" w:cs="Times New Roman"/>
          <w:kern w:val="2"/>
          <w:sz w:val="24"/>
          <w:szCs w:val="22"/>
          <w:lang w:val="en-US" w:eastAsia="zh-CN" w:bidi="ar-SA"/>
        </w:rPr>
        <w:t>具体情况详见</w:t>
      </w:r>
      <w:r>
        <w:rPr>
          <w:rFonts w:hint="eastAsia" w:cs="Times New Roman"/>
          <w:kern w:val="2"/>
          <w:sz w:val="24"/>
          <w:szCs w:val="22"/>
          <w:lang w:val="en-US" w:eastAsia="zh-CN" w:bidi="ar-SA"/>
        </w:rPr>
        <w:t>图</w:t>
      </w:r>
      <w:r>
        <w:rPr>
          <w:rFonts w:hint="eastAsia" w:ascii="Times New Roman" w:hAnsi="Times New Roman" w:eastAsia="宋体" w:cs="Times New Roman"/>
          <w:kern w:val="2"/>
          <w:sz w:val="24"/>
          <w:szCs w:val="22"/>
          <w:lang w:val="en-US" w:eastAsia="zh-CN" w:bidi="ar-SA"/>
        </w:rPr>
        <w:t>：</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361690"/>
            <wp:effectExtent l="0" t="0" r="6350" b="6350"/>
            <wp:docPr id="11" name="图表 11" descr="7b0a202020202263686172745265734964223a20223230343733343130220a7d0a" title="${chart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表：2023届专科</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分学院</w:t>
      </w:r>
      <w:r>
        <w:rPr>
          <w:rFonts w:hint="eastAsia" w:ascii="宋体" w:hAnsi="宋体" w:eastAsia="宋体" w:cs="宋体"/>
          <w:kern w:val="2"/>
          <w:sz w:val="21"/>
          <w:szCs w:val="21"/>
          <w:lang w:val="en-US" w:eastAsia="zh-CN" w:bidi="ar-SA"/>
        </w:rPr>
        <w:t>分专业分布</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0"/>
        <w:gridCol w:w="2685"/>
        <w:gridCol w:w="1610"/>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2730" w:type="dxa"/>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学院名称</w:t>
            </w:r>
          </w:p>
        </w:tc>
        <w:tc>
          <w:tcPr>
            <w:tcW w:w="2685" w:type="dxa"/>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专业名称</w:t>
            </w:r>
          </w:p>
        </w:tc>
        <w:tc>
          <w:tcPr>
            <w:tcW w:w="1610" w:type="dxa"/>
            <w:shd w:val="clear" w:color="auto" w:fill="548DD4"/>
            <w:noWrap w:val="0"/>
            <w:tcMar>
              <w:top w:w="8" w:type="dxa"/>
              <w:left w:w="8" w:type="dxa"/>
              <w:right w:w="8" w:type="dxa"/>
            </w:tcMar>
            <w:vAlign w:val="center"/>
          </w:tcPr>
          <w:p>
            <w:pPr>
              <w:pStyle w:val="38"/>
              <w:bidi w:val="0"/>
              <w:ind w:firstLine="0" w:firstLineChars="0"/>
              <w:rPr>
                <w:rFonts w:hint="eastAsia" w:ascii="宋体" w:hAnsi="宋体" w:eastAsia="宋体" w:cs="宋体"/>
                <w:b/>
                <w:bCs/>
                <w:color w:val="FFFFFF"/>
                <w:kern w:val="2"/>
                <w:sz w:val="21"/>
                <w:szCs w:val="21"/>
                <w:lang w:val="en-US" w:eastAsia="zh-CN" w:bidi="ar-SA"/>
              </w:rPr>
            </w:pPr>
            <w:r>
              <w:rPr>
                <w:rFonts w:hint="eastAsia"/>
                <w:b/>
                <w:bCs/>
                <w:color w:val="FFFFFF"/>
              </w:rPr>
              <w:t>人数</w:t>
            </w:r>
          </w:p>
        </w:tc>
        <w:tc>
          <w:tcPr>
            <w:tcW w:w="1611" w:type="dxa"/>
            <w:shd w:val="clear" w:color="auto" w:fill="548DD4"/>
            <w:noWrap w:val="0"/>
            <w:tcMar>
              <w:top w:w="8" w:type="dxa"/>
              <w:left w:w="8" w:type="dxa"/>
              <w:right w:w="8" w:type="dxa"/>
            </w:tcMar>
            <w:vAlign w:val="center"/>
          </w:tcPr>
          <w:p>
            <w:pPr>
              <w:pStyle w:val="38"/>
              <w:bidi w:val="0"/>
              <w:ind w:firstLine="0" w:firstLineChars="0"/>
              <w:rPr>
                <w:rFonts w:hint="eastAsia" w:ascii="宋体" w:hAnsi="宋体" w:eastAsia="宋体" w:cs="宋体"/>
                <w:b/>
                <w:bCs/>
                <w:color w:val="FFFFFF"/>
                <w:kern w:val="2"/>
                <w:sz w:val="21"/>
                <w:szCs w:val="21"/>
                <w:lang w:val="en-US" w:eastAsia="zh-CN" w:bidi="ar-SA"/>
              </w:rPr>
            </w:pPr>
            <w:r>
              <w:rPr>
                <w:rFonts w:hint="eastAsia"/>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美术学院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雕刻艺术设计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动漫设计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60</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服装与服饰设计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广告设计与制作</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环境艺术设计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美术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室内艺术设计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数字媒体艺术设计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default"/>
                <w:lang w:val="en-US" w:eastAsia="zh-CN"/>
              </w:rPr>
            </w:pPr>
            <w:r>
              <w:rPr>
                <w:rFonts w:hint="eastAsia"/>
                <w:lang w:val="en-US" w:eastAsia="zh-CN"/>
              </w:rPr>
              <w:t>75</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舞蹈学院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国际标准舞</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舞蹈表演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戏剧学院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人物形象设计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戏剧影视表演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影视编导</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戏曲学院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戏曲表演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音乐表演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新闻传媒学院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播音与主持</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85</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音乐学院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音乐表演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247</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综合艺术学院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表演艺术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default"/>
                <w:lang w:val="en-US" w:eastAsia="zh-CN"/>
              </w:rPr>
            </w:pPr>
            <w:r>
              <w:rPr>
                <w:rFonts w:hint="eastAsia"/>
                <w:lang w:val="en-US" w:eastAsia="zh-CN"/>
              </w:rPr>
              <w:t>82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高速铁路客运乘务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60</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空中乘务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摄影摄像技术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1.28%</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表：2023届研究生</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分学院</w:t>
      </w:r>
      <w:r>
        <w:rPr>
          <w:rFonts w:hint="eastAsia" w:ascii="宋体" w:hAnsi="宋体" w:eastAsia="宋体" w:cs="宋体"/>
          <w:kern w:val="2"/>
          <w:sz w:val="21"/>
          <w:szCs w:val="21"/>
          <w:lang w:val="en-US" w:eastAsia="zh-CN" w:bidi="ar-SA"/>
        </w:rPr>
        <w:t>分专业分布</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0"/>
        <w:gridCol w:w="2685"/>
        <w:gridCol w:w="1610"/>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2730" w:type="dxa"/>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学院名称</w:t>
            </w:r>
          </w:p>
        </w:tc>
        <w:tc>
          <w:tcPr>
            <w:tcW w:w="2685" w:type="dxa"/>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专业名称</w:t>
            </w:r>
          </w:p>
        </w:tc>
        <w:tc>
          <w:tcPr>
            <w:tcW w:w="1610" w:type="dxa"/>
            <w:shd w:val="clear" w:color="auto" w:fill="548DD4"/>
            <w:noWrap w:val="0"/>
            <w:tcMar>
              <w:top w:w="8" w:type="dxa"/>
              <w:left w:w="8" w:type="dxa"/>
              <w:right w:w="8" w:type="dxa"/>
            </w:tcMar>
            <w:vAlign w:val="center"/>
          </w:tcPr>
          <w:p>
            <w:pPr>
              <w:pStyle w:val="38"/>
              <w:bidi w:val="0"/>
              <w:ind w:firstLine="0" w:firstLineChars="0"/>
              <w:rPr>
                <w:rFonts w:hint="eastAsia" w:ascii="宋体" w:hAnsi="宋体" w:eastAsia="宋体" w:cs="宋体"/>
                <w:b/>
                <w:bCs/>
                <w:color w:val="FFFFFF"/>
                <w:kern w:val="2"/>
                <w:sz w:val="21"/>
                <w:szCs w:val="21"/>
                <w:lang w:val="en-US" w:eastAsia="zh-CN" w:bidi="ar-SA"/>
              </w:rPr>
            </w:pPr>
            <w:r>
              <w:rPr>
                <w:rFonts w:hint="eastAsia"/>
                <w:b/>
                <w:bCs/>
                <w:color w:val="FFFFFF"/>
              </w:rPr>
              <w:t>人数</w:t>
            </w:r>
          </w:p>
        </w:tc>
        <w:tc>
          <w:tcPr>
            <w:tcW w:w="1611" w:type="dxa"/>
            <w:shd w:val="clear" w:color="auto" w:fill="548DD4"/>
            <w:noWrap w:val="0"/>
            <w:tcMar>
              <w:top w:w="8" w:type="dxa"/>
              <w:left w:w="8" w:type="dxa"/>
              <w:right w:w="8" w:type="dxa"/>
            </w:tcMar>
            <w:vAlign w:val="center"/>
          </w:tcPr>
          <w:p>
            <w:pPr>
              <w:pStyle w:val="38"/>
              <w:bidi w:val="0"/>
              <w:ind w:firstLine="0" w:firstLineChars="0"/>
              <w:rPr>
                <w:rFonts w:hint="eastAsia" w:ascii="宋体" w:hAnsi="宋体" w:eastAsia="宋体" w:cs="宋体"/>
                <w:b/>
                <w:bCs/>
                <w:color w:val="FFFFFF"/>
                <w:kern w:val="2"/>
                <w:sz w:val="21"/>
                <w:szCs w:val="21"/>
                <w:lang w:val="en-US" w:eastAsia="zh-CN" w:bidi="ar-SA"/>
              </w:rPr>
            </w:pPr>
            <w:r>
              <w:rPr>
                <w:rFonts w:hint="eastAsia"/>
                <w:b/>
                <w:bCs/>
                <w:color w:val="FFFFFF"/>
              </w:rPr>
              <w:t>占比</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
        <w:numPr>
          <w:ilvl w:val="0"/>
          <w:numId w:val="1"/>
        </w:numPr>
        <w:bidi w:val="0"/>
        <w:rPr>
          <w:rFonts w:hint="eastAsia"/>
        </w:rPr>
      </w:pPr>
      <w:bookmarkStart w:id="24" w:name="_Toc24659"/>
      <w:bookmarkStart w:id="25" w:name="_Toc460"/>
      <w:bookmarkStart w:id="26" w:name="_Toc10384"/>
      <w:bookmarkStart w:id="27" w:name="_Toc15088"/>
      <w:bookmarkStart w:id="28" w:name="_Toc25571"/>
      <w:bookmarkStart w:id="29" w:name="_Toc20274"/>
      <w:bookmarkStart w:id="30" w:name="_Toc14630"/>
      <w:bookmarkStart w:id="31" w:name="_Toc8702"/>
      <w:r>
        <w:rPr>
          <w:rFonts w:hint="eastAsia"/>
        </w:rPr>
        <w:t>毕业生生源情况</w:t>
      </w:r>
      <w:bookmarkEnd w:id="24"/>
      <w:bookmarkEnd w:id="25"/>
      <w:bookmarkEnd w:id="26"/>
      <w:bookmarkEnd w:id="27"/>
      <w:bookmarkEnd w:id="28"/>
      <w:bookmarkEnd w:id="29"/>
      <w:bookmarkEnd w:id="30"/>
      <w:bookmarkEnd w:id="31"/>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安徽艺术职业学院2023届毕业生来自全国11个省市自治区37个城市，生源主要来自本省安徽，有1455人占全部毕业生的98.05%，其中来自合肥市的生源239人占安徽省生源比例的16.43%，详见表：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全国生源分布</w:t>
      </w:r>
    </w:p>
    <w:tbl>
      <w:tblPr>
        <w:tblStyle w:val="17"/>
        <w:tblW w:w="8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15" w:type="dxa"/>
          <w:left w:w="15" w:type="dxa"/>
          <w:bottom w:w="15" w:type="dxa"/>
          <w:right w:w="15" w:type="dxa"/>
        </w:tblCellMar>
      </w:tblPr>
      <w:tblGrid>
        <w:gridCol w:w="5407"/>
        <w:gridCol w:w="1621"/>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567" w:hRule="atLeast"/>
          <w:tblHeader/>
          <w:jc w:val="center"/>
        </w:trPr>
        <w:tc>
          <w:tcPr>
            <w:tcW w:w="5407" w:type="dxa"/>
            <w:shd w:val="clear" w:color="auto" w:fill="548DD4"/>
            <w:noWrap w:val="0"/>
            <w:vAlign w:val="center"/>
          </w:tcPr>
          <w:p>
            <w:pPr>
              <w:pStyle w:val="38"/>
              <w:bidi w:val="0"/>
              <w:rPr>
                <w:b/>
                <w:bCs/>
                <w:color w:val="FFFFFF"/>
              </w:rPr>
            </w:pPr>
            <w:r>
              <w:rPr>
                <w:rFonts w:hint="eastAsia"/>
                <w:b/>
                <w:bCs/>
                <w:color w:val="FFFFFF"/>
              </w:rPr>
              <w:t>省份名称</w:t>
            </w:r>
          </w:p>
        </w:tc>
        <w:tc>
          <w:tcPr>
            <w:tcW w:w="1621" w:type="dxa"/>
            <w:shd w:val="clear" w:color="auto" w:fill="548DD4"/>
            <w:noWrap w:val="0"/>
            <w:vAlign w:val="center"/>
          </w:tcPr>
          <w:p>
            <w:pPr>
              <w:pStyle w:val="38"/>
              <w:bidi w:val="0"/>
              <w:rPr>
                <w:b/>
                <w:bCs/>
                <w:color w:val="FFFFFF"/>
              </w:rPr>
            </w:pPr>
            <w:r>
              <w:rPr>
                <w:rFonts w:hint="eastAsia"/>
                <w:b/>
                <w:bCs/>
                <w:color w:val="FFFFFF"/>
              </w:rPr>
              <w:t>人数</w:t>
            </w:r>
          </w:p>
        </w:tc>
        <w:tc>
          <w:tcPr>
            <w:tcW w:w="1622" w:type="dxa"/>
            <w:shd w:val="clear" w:color="auto" w:fill="548DD4"/>
            <w:noWrap w:val="0"/>
            <w:vAlign w:val="center"/>
          </w:tcPr>
          <w:p>
            <w:pPr>
              <w:pStyle w:val="38"/>
              <w:bidi w:val="0"/>
              <w:rPr>
                <w:b/>
                <w:bCs/>
                <w:color w:val="FFFFFF"/>
              </w:rPr>
            </w:pPr>
            <w:r>
              <w:rPr>
                <w:rFonts w:hint="eastAsia"/>
                <w:b/>
                <w:bCs/>
                <w:color w:val="FFFFFF"/>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安徽省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1455</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98.05%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河南省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12</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江苏省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4</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浙江省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3</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重庆市</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3</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福建省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2</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山西省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黑龙江省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上海市</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四川省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贵州省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bl>
    <w:p>
      <w:pPr>
        <w:pStyle w:val="46"/>
        <w:spacing w:line="360" w:lineRule="auto"/>
        <w:ind w:firstLine="0" w:firstLineChars="0"/>
        <w:jc w:val="center"/>
        <w:rPr>
          <w:rFonts w:hint="eastAsia" w:ascii="宋体" w:hAnsi="宋体" w:eastAsia="宋体" w:cs="宋体"/>
          <w:b/>
          <w:bCs/>
          <w:sz w:val="32"/>
          <w:szCs w:val="32"/>
          <w:lang w:eastAsia="zh-CN"/>
        </w:rPr>
      </w:pPr>
      <w:bookmarkStart w:id="32" w:name="_Toc6192"/>
      <w:bookmarkStart w:id="33" w:name="_Toc26448"/>
      <w:bookmarkStart w:id="34" w:name="_Toc7674"/>
      <w:bookmarkStart w:id="35" w:name="_Toc30796"/>
      <w:bookmarkStart w:id="36" w:name="_Toc14574"/>
    </w:p>
    <w:p>
      <w:pPr>
        <w:pStyle w:val="46"/>
        <w:spacing w:line="360" w:lineRule="auto"/>
        <w:ind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507355" cy="3081655"/>
            <wp:effectExtent l="0" t="0" r="7620" b="4445"/>
            <wp:docPr id="12" name="图表 12" descr="7b0a202020202263686172745265734964223a20223230343733303535220a7d0a" title="${chart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46"/>
        <w:spacing w:line="360" w:lineRule="auto"/>
        <w:ind w:firstLine="0" w:firstLineChars="0"/>
        <w:jc w:val="center"/>
        <w:rPr>
          <w:rFonts w:hint="eastAsia" w:ascii="宋体" w:hAnsi="宋体" w:cs="宋体"/>
          <w:b/>
          <w:bCs/>
          <w:sz w:val="32"/>
          <w:szCs w:val="32"/>
        </w:rPr>
      </w:pPr>
      <w:r>
        <w:rPr>
          <w:rFonts w:hint="eastAsia" w:ascii="宋体" w:hAnsi="宋体" w:cs="宋体"/>
          <w:kern w:val="2"/>
          <w:sz w:val="21"/>
          <w:szCs w:val="21"/>
          <w:lang w:val="en-US" w:eastAsia="zh-CN" w:bidi="ar-SA"/>
        </w:rPr>
        <w:t>图：2023届</w:t>
      </w:r>
      <w:r>
        <w:rPr>
          <w:rFonts w:hint="eastAsia" w:ascii="宋体" w:hAnsi="宋体" w:eastAsia="宋体" w:cs="宋体"/>
          <w:kern w:val="2"/>
          <w:sz w:val="21"/>
          <w:szCs w:val="21"/>
          <w:lang w:val="en-US" w:eastAsia="zh-CN" w:bidi="ar-SA"/>
        </w:rPr>
        <w:t>毕业生安徽省生源地</w:t>
      </w:r>
      <w:r>
        <w:rPr>
          <w:rFonts w:hint="eastAsia" w:ascii="宋体" w:hAnsi="宋体" w:cs="宋体"/>
          <w:kern w:val="2"/>
          <w:sz w:val="21"/>
          <w:szCs w:val="21"/>
          <w:lang w:val="en-US" w:eastAsia="zh-CN" w:bidi="ar-SA"/>
        </w:rPr>
        <w:t>城市</w:t>
      </w:r>
      <w:r>
        <w:rPr>
          <w:rFonts w:hint="eastAsia" w:ascii="宋体" w:hAnsi="宋体" w:eastAsia="宋体" w:cs="宋体"/>
          <w:kern w:val="2"/>
          <w:sz w:val="21"/>
          <w:szCs w:val="21"/>
          <w:lang w:val="en-US" w:eastAsia="zh-CN" w:bidi="ar-SA"/>
        </w:rPr>
        <w:t>分布</w:t>
      </w:r>
    </w:p>
    <w:p>
      <w:pPr>
        <w:pStyle w:val="2"/>
        <w:bidi w:val="0"/>
        <w:rPr>
          <w:rFonts w:hint="eastAsia"/>
        </w:rPr>
      </w:pPr>
      <w:bookmarkStart w:id="37" w:name="_Toc28548"/>
      <w:bookmarkStart w:id="38" w:name="_Toc31202"/>
      <w:bookmarkStart w:id="39" w:name="_Toc20262"/>
      <w:r>
        <w:rPr>
          <w:rFonts w:hint="eastAsia"/>
        </w:rPr>
        <w:t>第二部分 毕业生</w:t>
      </w:r>
      <w:r>
        <w:rPr>
          <w:rFonts w:hint="eastAsia"/>
          <w:lang w:val="en-US" w:eastAsia="zh-CN"/>
        </w:rPr>
        <w:t>去向落实</w:t>
      </w:r>
      <w:r>
        <w:rPr>
          <w:rFonts w:hint="eastAsia"/>
        </w:rPr>
        <w:t>情况</w:t>
      </w:r>
      <w:bookmarkEnd w:id="32"/>
      <w:bookmarkEnd w:id="33"/>
      <w:bookmarkEnd w:id="34"/>
      <w:bookmarkEnd w:id="35"/>
      <w:bookmarkEnd w:id="36"/>
      <w:bookmarkEnd w:id="37"/>
      <w:bookmarkEnd w:id="38"/>
      <w:bookmarkEnd w:id="39"/>
    </w:p>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rPr>
      </w:pPr>
      <w:bookmarkStart w:id="40" w:name="_Toc17704"/>
      <w:bookmarkStart w:id="41" w:name="_Toc5687"/>
      <w:bookmarkStart w:id="42" w:name="_Toc9695"/>
      <w:bookmarkStart w:id="43" w:name="_Toc3213"/>
      <w:bookmarkStart w:id="44" w:name="_Toc236"/>
      <w:bookmarkStart w:id="45" w:name="_Toc8145"/>
      <w:bookmarkStart w:id="46" w:name="_Toc21219"/>
      <w:bookmarkStart w:id="47" w:name="_Toc9823"/>
      <w:bookmarkStart w:id="48" w:name="_Toc29948"/>
      <w:r>
        <w:rPr>
          <w:rFonts w:hint="eastAsia" w:ascii="宋体" w:hAnsi="宋体" w:cs="宋体"/>
          <w:b/>
          <w:bCs/>
          <w:sz w:val="28"/>
          <w:szCs w:val="28"/>
        </w:rPr>
        <w:t>毕业生</w:t>
      </w:r>
      <w:bookmarkEnd w:id="40"/>
      <w:bookmarkEnd w:id="41"/>
      <w:bookmarkEnd w:id="42"/>
      <w:bookmarkEnd w:id="43"/>
      <w:bookmarkEnd w:id="44"/>
      <w:r>
        <w:rPr>
          <w:rFonts w:hint="eastAsia" w:ascii="宋体" w:hAnsi="宋体" w:cs="宋体"/>
          <w:b/>
          <w:bCs/>
          <w:sz w:val="28"/>
          <w:szCs w:val="28"/>
          <w:lang w:val="en-US" w:eastAsia="zh-CN"/>
        </w:rPr>
        <w:t>初次</w:t>
      </w:r>
      <w:r>
        <w:rPr>
          <w:rFonts w:hint="eastAsia" w:ascii="宋体" w:hAnsi="宋体" w:cs="宋体"/>
          <w:b/>
          <w:bCs/>
          <w:sz w:val="28"/>
          <w:szCs w:val="28"/>
          <w:lang w:eastAsia="zh-CN"/>
        </w:rPr>
        <w:t>毕业去向落实率</w:t>
      </w:r>
      <w:r>
        <w:rPr>
          <w:rStyle w:val="24"/>
          <w:rFonts w:hint="eastAsia" w:ascii="宋体" w:hAnsi="宋体" w:cs="宋体"/>
          <w:b/>
          <w:bCs/>
          <w:sz w:val="28"/>
          <w:szCs w:val="28"/>
        </w:rPr>
        <w:footnoteReference w:id="1"/>
      </w:r>
      <w:bookmarkEnd w:id="45"/>
      <w:bookmarkEnd w:id="46"/>
      <w:bookmarkEnd w:id="47"/>
      <w:bookmarkEnd w:id="48"/>
    </w:p>
    <w:p>
      <w:pPr>
        <w:bidi w:val="0"/>
        <w:rPr>
          <w:rFonts w:hint="eastAsia"/>
          <w:lang w:val="en-US" w:eastAsia="zh-CN"/>
        </w:rPr>
      </w:pPr>
      <w:r>
        <w:rPr>
          <w:rFonts w:hint="eastAsia"/>
          <w:lang w:val="en-US" w:eastAsia="zh-CN"/>
        </w:rPr>
        <w:t>截止到 2023年08月31日，2023届毕业生总数为</w:t>
      </w:r>
      <w:r>
        <w:rPr>
          <w:rFonts w:hint="eastAsia" w:ascii="宋体" w:hAnsi="宋体" w:cs="宋体"/>
          <w:sz w:val="24"/>
          <w:szCs w:val="24"/>
          <w:lang w:val="en-US" w:eastAsia="zh-CN"/>
        </w:rPr>
        <w:t>1484</w:t>
      </w:r>
      <w:r>
        <w:rPr>
          <w:rFonts w:hint="eastAsia"/>
          <w:lang w:val="en-US" w:eastAsia="zh-CN"/>
        </w:rPr>
        <w:t>人，毕业去向</w:t>
      </w:r>
      <w:r>
        <w:rPr>
          <w:rFonts w:hint="eastAsia" w:ascii="宋体" w:hAnsi="宋体" w:cs="宋体"/>
          <w:sz w:val="24"/>
          <w:szCs w:val="24"/>
          <w:lang w:val="en-US" w:eastAsia="zh-CN"/>
        </w:rPr>
        <w:t>落实</w:t>
      </w:r>
      <w:r>
        <w:rPr>
          <w:rFonts w:hint="eastAsia"/>
          <w:lang w:val="en-US" w:eastAsia="zh-CN"/>
        </w:rPr>
        <w:t>人数</w:t>
      </w:r>
      <w:r>
        <w:rPr>
          <w:rStyle w:val="24"/>
          <w:rFonts w:hint="eastAsia" w:ascii="宋体" w:hAnsi="宋体" w:eastAsia="宋体" w:cs="宋体"/>
          <w:b/>
          <w:bCs/>
          <w:kern w:val="2"/>
          <w:sz w:val="28"/>
          <w:szCs w:val="28"/>
          <w:lang w:val="en-US" w:eastAsia="zh-CN" w:bidi="ar-SA"/>
        </w:rPr>
        <w:footnoteReference w:id="2"/>
      </w:r>
      <w:r>
        <w:rPr>
          <w:rFonts w:hint="eastAsia"/>
          <w:lang w:val="en-US" w:eastAsia="zh-CN"/>
        </w:rPr>
        <w:t>是</w:t>
      </w:r>
      <w:r>
        <w:rPr>
          <w:rFonts w:hint="eastAsia" w:ascii="宋体" w:hAnsi="宋体" w:cs="宋体"/>
          <w:sz w:val="24"/>
          <w:szCs w:val="24"/>
          <w:lang w:val="en-US" w:eastAsia="zh-CN"/>
        </w:rPr>
        <w:t>1360</w:t>
      </w:r>
      <w:r>
        <w:rPr>
          <w:rFonts w:hint="eastAsia"/>
          <w:lang w:val="en-US" w:eastAsia="zh-CN"/>
        </w:rPr>
        <w:t>人，初次毕业去向落实率</w:t>
      </w:r>
      <w:r>
        <w:rPr>
          <w:rFonts w:hint="eastAsia" w:ascii="宋体" w:hAnsi="宋体" w:cs="宋体"/>
          <w:sz w:val="24"/>
          <w:szCs w:val="24"/>
          <w:lang w:val="en-US" w:eastAsia="zh-CN"/>
        </w:rPr>
        <w:t>91.64%</w:t>
      </w:r>
      <w:r>
        <w:rPr>
          <w:rFonts w:hint="eastAsia"/>
          <w:lang w:val="en-US" w:eastAsia="zh-CN"/>
        </w:rPr>
        <w:t>；其中男生初次毕业去向落实率为</w:t>
      </w:r>
      <w:r>
        <w:rPr>
          <w:rFonts w:hint="eastAsia" w:ascii="宋体" w:hAnsi="宋体" w:cs="宋体"/>
          <w:sz w:val="24"/>
          <w:szCs w:val="24"/>
          <w:lang w:val="en-US" w:eastAsia="zh-CN"/>
        </w:rPr>
        <w:t>91.91%</w:t>
      </w:r>
      <w:r>
        <w:rPr>
          <w:rFonts w:hint="eastAsia"/>
          <w:lang w:val="en-US" w:eastAsia="zh-CN"/>
        </w:rPr>
        <w:t>，女生初次毕业去向落实率</w:t>
      </w:r>
      <w:r>
        <w:rPr>
          <w:rFonts w:hint="eastAsia" w:ascii="宋体" w:hAnsi="宋体" w:cs="宋体"/>
          <w:sz w:val="24"/>
          <w:szCs w:val="24"/>
          <w:lang w:val="en-US" w:eastAsia="zh-CN"/>
        </w:rPr>
        <w:t>91.47%</w:t>
      </w:r>
      <w:r>
        <w:rPr>
          <w:rFonts w:hint="eastAsia"/>
          <w:lang w:val="en-US" w:eastAsia="zh-CN"/>
        </w:rPr>
        <w:t>；</w:t>
      </w:r>
    </w:p>
    <w:p>
      <w:pPr>
        <w:pStyle w:val="4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cs="宋体"/>
          <w:sz w:val="24"/>
          <w:szCs w:val="24"/>
          <w:lang w:val="en-US" w:eastAsia="zh-CN"/>
        </w:rPr>
      </w:pPr>
      <w:bookmarkStart w:id="49" w:name="_Toc16601"/>
      <w:bookmarkStart w:id="50" w:name="_Toc341"/>
      <w:bookmarkStart w:id="51" w:name="_Toc19946"/>
      <w:r>
        <w:rPr>
          <w:rFonts w:hint="eastAsia" w:ascii="宋体" w:hAnsi="宋体" w:eastAsia="宋体" w:cs="宋体"/>
          <w:b/>
          <w:bCs/>
          <w:sz w:val="32"/>
          <w:szCs w:val="32"/>
          <w:lang w:eastAsia="zh-CN"/>
        </w:rPr>
        <w:drawing>
          <wp:inline distT="0" distB="0" distL="114300" distR="114300">
            <wp:extent cx="5478780" cy="2616200"/>
            <wp:effectExtent l="0" t="0" r="7620" b="3175"/>
            <wp:docPr id="13" name="图表 13" descr="7b0a202020202263686172745265734964223a20223230343733303535220a7d0a" title="${chart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46"/>
        <w:spacing w:line="360" w:lineRule="auto"/>
        <w:ind w:firstLine="0" w:firstLineChars="0"/>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图：2023届</w:t>
      </w:r>
      <w:r>
        <w:rPr>
          <w:rFonts w:hint="eastAsia" w:ascii="宋体" w:hAnsi="宋体" w:eastAsia="宋体" w:cs="宋体"/>
          <w:kern w:val="2"/>
          <w:sz w:val="21"/>
          <w:szCs w:val="21"/>
          <w:lang w:val="en-US" w:eastAsia="zh-CN" w:bidi="ar-SA"/>
        </w:rPr>
        <w:t>毕</w:t>
      </w:r>
      <w:r>
        <w:rPr>
          <w:rFonts w:hint="eastAsia" w:ascii="宋体" w:hAnsi="宋体" w:cs="宋体"/>
          <w:kern w:val="2"/>
          <w:sz w:val="21"/>
          <w:szCs w:val="21"/>
          <w:lang w:val="en-US" w:eastAsia="zh-CN" w:bidi="ar-SA"/>
        </w:rPr>
        <w:t>业生初次毕业去向落实率</w:t>
      </w:r>
    </w:p>
    <w:p>
      <w:pPr>
        <w:bidi w:val="0"/>
        <w:rPr>
          <w:rFonts w:hint="default"/>
          <w:lang w:val="en-US" w:eastAsia="zh-CN"/>
        </w:rPr>
      </w:pPr>
      <w:r>
        <w:rPr>
          <w:rFonts w:hint="eastAsia"/>
          <w:lang w:val="en-US" w:eastAsia="zh-CN"/>
        </w:rPr>
        <w:t>从最近五年来看，毕业生去向落实率总体稳定，近年受全球新冠疫情影响，去向落实稍微降低。详见图：</w:t>
      </w:r>
    </w:p>
    <w:p>
      <w:pPr>
        <w:pStyle w:val="46"/>
        <w:spacing w:line="36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3825"/>
            <wp:effectExtent l="0" t="0" r="7620" b="3175"/>
            <wp:docPr id="9" name="图表 9" descr="7b0a202020202263686172745265734964223a20223230343733303535220a7d0a" title="${chart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eastAsia" w:ascii="宋体" w:hAnsi="宋体" w:cs="宋体"/>
          <w:kern w:val="2"/>
          <w:sz w:val="21"/>
          <w:szCs w:val="21"/>
          <w:lang w:val="en-US" w:eastAsia="zh-CN" w:bidi="ar-SA"/>
        </w:rPr>
        <w:t>图：2018-2023届</w:t>
      </w:r>
      <w:r>
        <w:rPr>
          <w:rFonts w:hint="eastAsia" w:ascii="宋体" w:hAnsi="宋体" w:eastAsia="宋体" w:cs="宋体"/>
          <w:kern w:val="2"/>
          <w:sz w:val="21"/>
          <w:szCs w:val="21"/>
          <w:lang w:val="en-US" w:eastAsia="zh-CN" w:bidi="ar-SA"/>
        </w:rPr>
        <w:t>毕业生总体</w:t>
      </w:r>
      <w:r>
        <w:rPr>
          <w:rFonts w:hint="eastAsia" w:ascii="宋体" w:hAnsi="宋体" w:cs="宋体"/>
          <w:kern w:val="2"/>
          <w:sz w:val="21"/>
          <w:szCs w:val="21"/>
          <w:lang w:val="en-US" w:eastAsia="zh-CN" w:bidi="ar-SA"/>
        </w:rPr>
        <w:t>毕业去向落实率</w:t>
      </w:r>
    </w:p>
    <w:bookmarkEnd w:id="49"/>
    <w:bookmarkEnd w:id="50"/>
    <w:bookmarkEnd w:id="51"/>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rPr>
      </w:pPr>
      <w:bookmarkStart w:id="52" w:name="_Toc24406"/>
      <w:bookmarkStart w:id="53" w:name="_Toc6521"/>
      <w:bookmarkStart w:id="54" w:name="_Toc16291"/>
      <w:bookmarkStart w:id="55" w:name="_Toc14531"/>
      <w:bookmarkStart w:id="56" w:name="_Toc23231"/>
      <w:bookmarkStart w:id="57" w:name="_Toc23569"/>
      <w:bookmarkStart w:id="58" w:name="_Toc25448"/>
      <w:bookmarkStart w:id="59" w:name="_Toc326"/>
      <w:r>
        <w:rPr>
          <w:rFonts w:hint="eastAsia" w:ascii="宋体" w:hAnsi="宋体" w:cs="宋体"/>
          <w:b/>
          <w:bCs/>
          <w:sz w:val="28"/>
          <w:szCs w:val="28"/>
          <w:lang w:val="en-US" w:eastAsia="zh-CN"/>
        </w:rPr>
        <w:t>初次就业七率统计</w:t>
      </w:r>
      <w:bookmarkEnd w:id="52"/>
      <w:r>
        <w:rPr>
          <w:rStyle w:val="24"/>
          <w:rFonts w:hint="eastAsia" w:ascii="宋体" w:hAnsi="宋体" w:cs="宋体"/>
          <w:b/>
          <w:bCs/>
          <w:sz w:val="28"/>
          <w:szCs w:val="28"/>
          <w:lang w:val="en-US" w:eastAsia="zh-CN"/>
        </w:rPr>
        <w:footnoteReference w:id="3"/>
      </w:r>
      <w:bookmarkEnd w:id="53"/>
      <w:bookmarkEnd w:id="54"/>
      <w:bookmarkEnd w:id="55"/>
      <w:bookmarkEnd w:id="56"/>
      <w:r>
        <w:rPr>
          <w:rFonts w:hint="eastAsia" w:ascii="宋体" w:hAnsi="宋体" w:cs="宋体"/>
          <w:b/>
          <w:bCs/>
          <w:sz w:val="28"/>
          <w:szCs w:val="28"/>
        </w:rPr>
        <w:t xml:space="preserve"> </w:t>
      </w:r>
    </w:p>
    <w:bookmarkEnd w:id="57"/>
    <w:bookmarkEnd w:id="58"/>
    <w:bookmarkEnd w:id="59"/>
    <w:p>
      <w:pPr>
        <w:bidi w:val="0"/>
        <w:rPr>
          <w:rFonts w:hint="default"/>
          <w:highlight w:val="none"/>
          <w:lang w:val="en-US" w:eastAsia="zh-CN"/>
        </w:rPr>
      </w:pPr>
      <w:r>
        <w:rPr>
          <w:rFonts w:hint="eastAsia" w:ascii="宋体" w:hAnsi="宋体" w:cs="宋体"/>
          <w:highlight w:val="none"/>
          <w:lang w:val="en-US" w:eastAsia="zh-CN"/>
        </w:rPr>
        <w:t>2023届</w:t>
      </w:r>
      <w:r>
        <w:rPr>
          <w:rFonts w:hint="eastAsia"/>
          <w:highlight w:val="none"/>
          <w:lang w:val="en-US" w:eastAsia="zh-CN"/>
        </w:rPr>
        <w:t>毕业生的毕业去向以签订协议和劳动合同为主，共有</w:t>
      </w:r>
      <w:r>
        <w:rPr>
          <w:rFonts w:hint="eastAsia" w:ascii="宋体" w:hAnsi="宋体" w:cs="宋体"/>
          <w:sz w:val="24"/>
          <w:szCs w:val="24"/>
          <w:highlight w:val="none"/>
          <w:lang w:val="en-US" w:eastAsia="zh-CN"/>
        </w:rPr>
        <w:t>918</w:t>
      </w:r>
      <w:r>
        <w:rPr>
          <w:rFonts w:hint="eastAsia"/>
          <w:highlight w:val="none"/>
          <w:lang w:val="en-US" w:eastAsia="zh-CN"/>
        </w:rPr>
        <w:t>人通过签订协议和劳动合同方式就业，</w:t>
      </w:r>
      <w:r>
        <w:rPr>
          <w:rFonts w:hint="eastAsia" w:ascii="宋体" w:hAnsi="宋体" w:cs="宋体"/>
          <w:sz w:val="24"/>
          <w:szCs w:val="24"/>
          <w:highlight w:val="none"/>
          <w:lang w:val="en-US" w:eastAsia="zh-CN"/>
        </w:rPr>
        <w:t>占</w:t>
      </w:r>
      <w:r>
        <w:rPr>
          <w:rFonts w:hint="eastAsia"/>
          <w:highlight w:val="none"/>
          <w:lang w:val="en-US" w:eastAsia="zh-CN"/>
        </w:rPr>
        <w:t>全部毕业生比例是</w:t>
      </w:r>
      <w:r>
        <w:rPr>
          <w:rFonts w:hint="eastAsia" w:ascii="宋体" w:hAnsi="宋体" w:cs="宋体"/>
          <w:sz w:val="24"/>
          <w:szCs w:val="24"/>
          <w:highlight w:val="none"/>
          <w:lang w:val="en-US" w:eastAsia="zh-CN"/>
        </w:rPr>
        <w:t>61.86%，另外升学（含出国出境）人数397人占比是26.75%，毕业去向未落实毕业生累计124人占比是8.36%，如图：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3081655"/>
            <wp:effectExtent l="0" t="0" r="7620" b="4445"/>
            <wp:docPr id="14" name="图表 14" descr="7b0a202020202263686172745265734964223a20223230343733303535220a7d0a" title="${chart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全校毕业生七率统计</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w:t>
      </w:r>
      <w:r>
        <w:rPr>
          <w:rFonts w:hint="eastAsia" w:ascii="宋体" w:hAnsi="宋体" w:eastAsia="宋体" w:cs="宋体"/>
          <w:kern w:val="2"/>
          <w:sz w:val="21"/>
          <w:szCs w:val="21"/>
          <w:lang w:val="en-US" w:eastAsia="zh-CN" w:bidi="ar-SA"/>
        </w:rPr>
        <w:t>毕业生初次就业七率分性别统计表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1"/>
        <w:gridCol w:w="1952"/>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2537" w:type="pct"/>
            <w:shd w:val="clear" w:color="auto" w:fill="548DD4"/>
            <w:noWrap w:val="0"/>
            <w:tcMar>
              <w:top w:w="8" w:type="dxa"/>
              <w:left w:w="8" w:type="dxa"/>
              <w:right w:w="8" w:type="dxa"/>
            </w:tcMar>
            <w:vAlign w:val="center"/>
          </w:tcPr>
          <w:p>
            <w:pPr>
              <w:pStyle w:val="38"/>
              <w:bidi w:val="0"/>
              <w:rPr>
                <w:rFonts w:hint="default"/>
                <w:b/>
                <w:bCs/>
                <w:color w:val="FFFFFF"/>
                <w:lang w:val="en-US"/>
              </w:rPr>
            </w:pPr>
            <w:r>
              <w:rPr>
                <w:rFonts w:hint="eastAsia"/>
                <w:b/>
                <w:bCs/>
                <w:color w:val="FFFFFF"/>
                <w:lang w:val="en-US" w:eastAsia="zh-CN"/>
              </w:rPr>
              <w:t>统计项目</w:t>
            </w:r>
          </w:p>
        </w:tc>
        <w:tc>
          <w:tcPr>
            <w:tcW w:w="1133"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男生</w:t>
            </w:r>
          </w:p>
        </w:tc>
        <w:tc>
          <w:tcPr>
            <w:tcW w:w="1329"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毕业去向落实率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91.91%</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签订协议和劳动合同就业率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65.06%</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灵活就业率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2.07%</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创业率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1.03%</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升学率(含出国留学)</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23.75%</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暂不就业率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1.03%</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待就业率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7.06%</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实际就业率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62.13%</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62.79%</w:t>
            </w:r>
          </w:p>
        </w:tc>
      </w:tr>
    </w:tbl>
    <w:p>
      <w:pPr>
        <w:bidi w:val="0"/>
        <w:rPr>
          <w:rFonts w:hint="eastAsia"/>
          <w:highlight w:val="yellow"/>
          <w:lang w:val="en-US" w:eastAsia="zh-CN"/>
        </w:rPr>
      </w:pPr>
      <w:bookmarkStart w:id="60" w:name="_Toc5310"/>
    </w:p>
    <w:p>
      <w:pPr>
        <w:bidi w:val="0"/>
        <w:ind w:left="0" w:leftChars="0" w:firstLine="480" w:firstLineChars="200"/>
        <w:rPr>
          <w:rFonts w:hint="eastAsia"/>
          <w:highlight w:val="none"/>
          <w:lang w:val="en-US" w:eastAsia="zh-CN"/>
        </w:rPr>
      </w:pPr>
      <w:r>
        <w:rPr>
          <w:rFonts w:hint="eastAsia"/>
          <w:highlight w:val="none"/>
          <w:lang w:val="en-US" w:eastAsia="zh-CN"/>
        </w:rPr>
        <w:t>以下是优秀毕业生</w:t>
      </w:r>
      <w:r>
        <w:rPr>
          <w:rStyle w:val="24"/>
          <w:rFonts w:hint="eastAsia" w:ascii="宋体" w:hAnsi="宋体" w:cs="宋体"/>
          <w:b/>
          <w:bCs/>
          <w:sz w:val="28"/>
          <w:szCs w:val="28"/>
          <w:lang w:val="en-US" w:eastAsia="zh-CN"/>
        </w:rPr>
        <w:footnoteReference w:id="4"/>
      </w:r>
      <w:r>
        <w:rPr>
          <w:rFonts w:hint="eastAsia"/>
          <w:highlight w:val="none"/>
          <w:lang w:val="en-US" w:eastAsia="zh-CN"/>
        </w:rPr>
        <w:t>、少数民族毕业生和特殊群体的就业七率统计。如下图：</w:t>
      </w:r>
    </w:p>
    <w:p>
      <w:pPr>
        <w:pStyle w:val="46"/>
        <w:spacing w:line="360" w:lineRule="auto"/>
        <w:ind w:left="0" w:leftChars="0" w:firstLine="0" w:firstLineChars="0"/>
        <w:jc w:val="center"/>
        <w:rPr>
          <w:rFonts w:hint="eastAsia" w:ascii="宋体" w:hAnsi="宋体" w:cs="宋体"/>
          <w:b/>
          <w:bCs/>
          <w:lang w:val="en-US" w:eastAsia="zh-CN"/>
        </w:rPr>
      </w:pPr>
      <w:r>
        <w:rPr>
          <w:rFonts w:hint="eastAsia" w:ascii="宋体" w:hAnsi="宋体" w:eastAsia="宋体" w:cs="宋体"/>
          <w:b/>
          <w:bCs/>
          <w:sz w:val="32"/>
          <w:szCs w:val="32"/>
          <w:lang w:eastAsia="zh-CN"/>
        </w:rPr>
        <w:drawing>
          <wp:inline distT="0" distB="0" distL="114300" distR="114300">
            <wp:extent cx="5478780" cy="3081655"/>
            <wp:effectExtent l="0" t="0" r="7620" b="4445"/>
            <wp:docPr id="130" name="图表 130" descr="7b0a202020202263686172745265734964223a20223230343733303535220a7d0a" title="${chart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ascii="宋体" w:hAnsi="宋体" w:cs="宋体"/>
          <w:kern w:val="2"/>
          <w:sz w:val="21"/>
          <w:szCs w:val="21"/>
          <w:lang w:val="en-US" w:eastAsia="zh-CN" w:bidi="ar-SA"/>
        </w:rPr>
        <w:t>图：2023届</w:t>
      </w:r>
      <w:r>
        <w:rPr>
          <w:rFonts w:hint="eastAsia" w:ascii="宋体" w:hAnsi="宋体" w:eastAsia="宋体" w:cs="宋体"/>
          <w:kern w:val="2"/>
          <w:sz w:val="21"/>
          <w:szCs w:val="21"/>
          <w:lang w:val="en-US" w:eastAsia="zh-CN" w:bidi="ar-SA"/>
        </w:rPr>
        <w:t>优秀毕业生七率统计</w:t>
      </w:r>
    </w:p>
    <w:p>
      <w:pPr>
        <w:pStyle w:val="16"/>
        <w:bidi w:val="0"/>
        <w:ind w:left="0" w:leftChars="0" w:firstLine="0" w:firstLineChars="0"/>
        <w:jc w:val="center"/>
        <w:rPr>
          <w:rFonts w:hint="eastAsia" w:ascii="宋体" w:hAnsi="宋体" w:cs="宋体"/>
          <w:b/>
          <w:bCs/>
          <w:lang w:val="en-US" w:eastAsia="zh-CN"/>
        </w:rPr>
      </w:pPr>
      <w:r>
        <w:rPr>
          <w:rFonts w:hint="eastAsia" w:ascii="宋体" w:hAnsi="宋体" w:eastAsia="宋体" w:cs="宋体"/>
          <w:b/>
          <w:bCs/>
          <w:sz w:val="32"/>
          <w:szCs w:val="32"/>
          <w:lang w:eastAsia="zh-CN"/>
        </w:rPr>
        <w:drawing>
          <wp:inline distT="0" distB="0" distL="114300" distR="114300">
            <wp:extent cx="5478780" cy="3081655"/>
            <wp:effectExtent l="0" t="0" r="7620" b="4445"/>
            <wp:docPr id="132" name="图表 132" descr="7b0a202020202263686172745265734964223a20223230343733303535220a7d0a" title="${chart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少数</w:t>
      </w:r>
      <w:r>
        <w:rPr>
          <w:rFonts w:hint="eastAsia" w:ascii="宋体" w:hAnsi="宋体" w:cs="宋体"/>
          <w:kern w:val="2"/>
          <w:sz w:val="21"/>
          <w:szCs w:val="21"/>
          <w:lang w:val="en-US" w:eastAsia="zh-CN" w:bidi="ar-SA"/>
        </w:rPr>
        <w:t>民族毕业生</w:t>
      </w:r>
      <w:r>
        <w:rPr>
          <w:rFonts w:hint="eastAsia" w:ascii="宋体" w:hAnsi="宋体" w:eastAsia="宋体" w:cs="宋体"/>
          <w:kern w:val="2"/>
          <w:sz w:val="21"/>
          <w:szCs w:val="21"/>
          <w:lang w:val="en-US" w:eastAsia="zh-CN" w:bidi="ar-SA"/>
        </w:rPr>
        <w:t>七率统计</w:t>
      </w:r>
    </w:p>
    <w:p>
      <w:pPr>
        <w:pStyle w:val="46"/>
        <w:spacing w:line="36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3081655"/>
            <wp:effectExtent l="0" t="0" r="7620" b="4445"/>
            <wp:docPr id="133" name="图表 133" descr="7b0a202020202263686172745265734964223a20223230343733303535220a7d0a" title="${chart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ascii="宋体" w:hAnsi="宋体" w:cs="宋体"/>
          <w:kern w:val="2"/>
          <w:sz w:val="21"/>
          <w:szCs w:val="21"/>
          <w:lang w:val="en-US" w:eastAsia="zh-CN" w:bidi="ar-SA"/>
        </w:rPr>
        <w:t>图：2023届特殊群体</w:t>
      </w:r>
      <w:r>
        <w:rPr>
          <w:rFonts w:hint="eastAsia" w:ascii="宋体" w:hAnsi="宋体" w:eastAsia="宋体" w:cs="宋体"/>
          <w:kern w:val="2"/>
          <w:sz w:val="21"/>
          <w:szCs w:val="21"/>
          <w:lang w:val="en-US" w:eastAsia="zh-CN" w:bidi="ar-SA"/>
        </w:rPr>
        <w:t>毕业生七率统计</w:t>
      </w:r>
    </w:p>
    <w:p>
      <w:pPr>
        <w:pStyle w:val="46"/>
        <w:spacing w:line="36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3081655"/>
            <wp:effectExtent l="0" t="0" r="7620" b="4445"/>
            <wp:docPr id="4" name="图表 4" descr="7b0a202020202263686172745265734964223a20223230343733303535220a7d0a" title="${chart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eastAsia" w:ascii="宋体" w:hAnsi="宋体" w:cs="宋体"/>
          <w:kern w:val="2"/>
          <w:sz w:val="21"/>
          <w:szCs w:val="21"/>
          <w:lang w:val="en-US" w:eastAsia="zh-CN" w:bidi="ar-SA"/>
        </w:rPr>
        <w:t>图：2023届校本部</w:t>
      </w:r>
      <w:r>
        <w:rPr>
          <w:rFonts w:hint="eastAsia" w:ascii="宋体" w:hAnsi="宋体" w:eastAsia="宋体" w:cs="宋体"/>
          <w:kern w:val="2"/>
          <w:sz w:val="21"/>
          <w:szCs w:val="21"/>
          <w:lang w:val="en-US" w:eastAsia="zh-CN" w:bidi="ar-SA"/>
        </w:rPr>
        <w:t>毕业生七率统计</w:t>
      </w:r>
    </w:p>
    <w:p>
      <w:pPr>
        <w:pStyle w:val="3"/>
        <w:numPr>
          <w:ilvl w:val="0"/>
          <w:numId w:val="3"/>
        </w:numPr>
        <w:bidi w:val="0"/>
        <w:rPr>
          <w:rFonts w:hint="default"/>
          <w:lang w:val="en-US" w:eastAsia="zh-CN"/>
        </w:rPr>
      </w:pPr>
      <w:bookmarkStart w:id="61" w:name="_Toc29214"/>
      <w:bookmarkStart w:id="62" w:name="_Toc27722"/>
      <w:bookmarkStart w:id="63" w:name="_Toc19822"/>
      <w:bookmarkStart w:id="64" w:name="_Toc20144"/>
      <w:bookmarkStart w:id="65" w:name="_Toc17938"/>
      <w:r>
        <w:rPr>
          <w:rFonts w:hint="eastAsia"/>
          <w:lang w:val="en-US" w:eastAsia="zh-CN"/>
        </w:rPr>
        <w:t>全校毕业生去向落实情况统计</w:t>
      </w:r>
      <w:bookmarkEnd w:id="61"/>
      <w:bookmarkEnd w:id="62"/>
      <w:bookmarkEnd w:id="63"/>
      <w:bookmarkEnd w:id="64"/>
      <w:bookmarkEnd w:id="65"/>
    </w:p>
    <w:p>
      <w:pPr>
        <w:bidi w:val="0"/>
        <w:rPr>
          <w:rFonts w:hint="eastAsia"/>
          <w:highlight w:val="none"/>
          <w:lang w:val="en-US" w:eastAsia="zh-CN"/>
        </w:rPr>
      </w:pPr>
      <w:r>
        <w:rPr>
          <w:rFonts w:hint="eastAsia"/>
          <w:highlight w:val="none"/>
          <w:lang w:val="en-US" w:eastAsia="zh-CN"/>
        </w:rPr>
        <w:t>2023届毕业生总数为1484人，毕业去向落实人数是1360人，初次毕业去向落实率91.64%。学校整体初次毕业去向落实率高，在全部7个院系中有个院系的初次毕业去向落实率达到87%的基本目标。各学院毕业去向落实率和签订协议和劳动合同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毕业去向落实率</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5"/>
        <w:gridCol w:w="1399"/>
        <w:gridCol w:w="1399"/>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562" w:type="pct"/>
            <w:vMerge w:val="restart"/>
            <w:shd w:val="clear" w:color="auto" w:fill="4F81BD"/>
            <w:noWrap w:val="0"/>
            <w:tcMar>
              <w:top w:w="8" w:type="dxa"/>
              <w:left w:w="8" w:type="dxa"/>
              <w:right w:w="8" w:type="dxa"/>
            </w:tcMar>
            <w:vAlign w:val="center"/>
          </w:tcPr>
          <w:p>
            <w:pPr>
              <w:pStyle w:val="38"/>
              <w:bidi w:val="0"/>
              <w:rPr>
                <w:rFonts w:hint="eastAsia"/>
                <w:b/>
                <w:bCs/>
                <w:color w:val="FFFFFF"/>
                <w:lang w:eastAsia="zh-CN"/>
              </w:rPr>
            </w:pPr>
            <w:r>
              <w:rPr>
                <w:rFonts w:hint="eastAsia"/>
                <w:b/>
                <w:bCs/>
                <w:color w:val="FFFFFF"/>
                <w:lang w:eastAsia="zh-CN"/>
              </w:rPr>
              <w:t>学院名称</w:t>
            </w:r>
          </w:p>
        </w:tc>
        <w:tc>
          <w:tcPr>
            <w:tcW w:w="812" w:type="pct"/>
            <w:vMerge w:val="restart"/>
            <w:shd w:val="clear" w:color="auto" w:fill="4F81BD"/>
            <w:noWrap w:val="0"/>
            <w:tcMar>
              <w:top w:w="8" w:type="dxa"/>
              <w:left w:w="8" w:type="dxa"/>
              <w:right w:w="8" w:type="dxa"/>
            </w:tcMar>
            <w:vAlign w:val="center"/>
          </w:tcPr>
          <w:p>
            <w:pPr>
              <w:pStyle w:val="38"/>
              <w:bidi w:val="0"/>
              <w:rPr>
                <w:b/>
                <w:bCs/>
                <w:color w:val="FFFFFF"/>
              </w:rPr>
            </w:pPr>
            <w:r>
              <w:rPr>
                <w:rFonts w:hint="eastAsia"/>
                <w:b/>
                <w:bCs/>
                <w:color w:val="FFFFFF"/>
              </w:rPr>
              <w:t>总人数</w:t>
            </w:r>
          </w:p>
        </w:tc>
        <w:tc>
          <w:tcPr>
            <w:tcW w:w="1624" w:type="pct"/>
            <w:gridSpan w:val="2"/>
            <w:shd w:val="clear" w:color="auto" w:fill="4F81BD"/>
            <w:noWrap w:val="0"/>
            <w:tcMar>
              <w:top w:w="8" w:type="dxa"/>
              <w:left w:w="8" w:type="dxa"/>
              <w:right w:w="8" w:type="dxa"/>
            </w:tcMar>
            <w:vAlign w:val="center"/>
          </w:tcPr>
          <w:p>
            <w:pPr>
              <w:pStyle w:val="38"/>
              <w:bidi w:val="0"/>
              <w:rPr>
                <w:rFonts w:hint="eastAsia"/>
                <w:b/>
                <w:bCs/>
                <w:color w:val="FFFFFF"/>
                <w:lang w:eastAsia="zh-CN"/>
              </w:rPr>
            </w:pPr>
            <w:r>
              <w:rPr>
                <w:rFonts w:hint="eastAsia"/>
                <w:b/>
                <w:bCs/>
                <w:color w:val="FFFFFF"/>
                <w:lang w:eastAsia="zh-CN"/>
              </w:rPr>
              <w:t>毕业去向落实率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562" w:type="pct"/>
            <w:vMerge w:val="continue"/>
            <w:shd w:val="clear" w:color="auto" w:fill="4F81BD"/>
            <w:noWrap w:val="0"/>
            <w:tcMar>
              <w:top w:w="8" w:type="dxa"/>
              <w:left w:w="8" w:type="dxa"/>
              <w:right w:w="8" w:type="dxa"/>
            </w:tcMar>
            <w:vAlign w:val="center"/>
          </w:tcPr>
          <w:p>
            <w:pPr>
              <w:pStyle w:val="38"/>
              <w:bidi w:val="0"/>
              <w:rPr>
                <w:b/>
                <w:bCs/>
                <w:color w:val="FFFFFF"/>
              </w:rPr>
            </w:pPr>
          </w:p>
        </w:tc>
        <w:tc>
          <w:tcPr>
            <w:tcW w:w="812" w:type="pct"/>
            <w:vMerge w:val="continue"/>
            <w:shd w:val="clear" w:color="auto" w:fill="4F81BD"/>
            <w:noWrap w:val="0"/>
            <w:tcMar>
              <w:top w:w="8" w:type="dxa"/>
              <w:left w:w="8" w:type="dxa"/>
              <w:right w:w="8" w:type="dxa"/>
            </w:tcMar>
            <w:vAlign w:val="center"/>
          </w:tcPr>
          <w:p>
            <w:pPr>
              <w:pStyle w:val="38"/>
              <w:bidi w:val="0"/>
              <w:rPr>
                <w:b/>
                <w:bCs/>
                <w:color w:val="FFFFFF"/>
              </w:rPr>
            </w:pPr>
          </w:p>
        </w:tc>
        <w:tc>
          <w:tcPr>
            <w:tcW w:w="812" w:type="pct"/>
            <w:shd w:val="clear" w:color="auto" w:fill="4F81BD"/>
            <w:noWrap w:val="0"/>
            <w:tcMar>
              <w:top w:w="8" w:type="dxa"/>
              <w:left w:w="8" w:type="dxa"/>
              <w:right w:w="8" w:type="dxa"/>
            </w:tcMar>
            <w:vAlign w:val="center"/>
          </w:tcPr>
          <w:p>
            <w:pPr>
              <w:pStyle w:val="38"/>
              <w:bidi w:val="0"/>
              <w:rPr>
                <w:b/>
                <w:bCs/>
                <w:color w:val="FFFFFF"/>
              </w:rPr>
            </w:pPr>
            <w:r>
              <w:rPr>
                <w:b/>
                <w:bCs/>
                <w:color w:val="FFFFFF"/>
              </w:rPr>
              <w:t>人数</w:t>
            </w:r>
          </w:p>
        </w:tc>
        <w:tc>
          <w:tcPr>
            <w:tcW w:w="812" w:type="pct"/>
            <w:shd w:val="clear" w:color="auto" w:fill="4F81BD"/>
            <w:noWrap w:val="0"/>
            <w:tcMar>
              <w:top w:w="8" w:type="dxa"/>
              <w:left w:w="8" w:type="dxa"/>
              <w:right w:w="8" w:type="dxa"/>
            </w:tcMar>
            <w:vAlign w:val="center"/>
          </w:tcPr>
          <w:p>
            <w:pPr>
              <w:pStyle w:val="38"/>
              <w:bidi w:val="0"/>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戏曲学院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41</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戏剧学院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142</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137</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美术学院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502</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481</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综合艺术学院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193</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183</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音乐学院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247</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233</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新闻传媒学院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85</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76</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舞蹈学院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274</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76.64%</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bidi w:val="0"/>
        <w:rPr>
          <w:rFonts w:hint="eastAsia"/>
          <w:highlight w:val="none"/>
          <w:lang w:val="en-US" w:eastAsia="zh-CN"/>
        </w:rPr>
      </w:pPr>
      <w:r>
        <w:rPr>
          <w:rFonts w:hint="eastAsia"/>
          <w:highlight w:val="none"/>
          <w:lang w:val="en-US" w:eastAsia="zh-CN"/>
        </w:rPr>
        <w:t>签订就业协议和劳动合同就业包含毕业生毕业去向是签订就业协议就业、签订劳动合同形式就业、科研助理、应征义务兵和基层项目（国家和地方）的毕业生，2023届毕业生共有918人通过签订就业协议和劳动合同方式就业，占全部毕业生的61.86%，其中有4个院系的签订协议和劳动合同就业率超过60%，毕业生实际就业人数多。各学院签订就业协议和劳动合同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签订协议和劳动合同就业率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5"/>
        <w:gridCol w:w="1401"/>
        <w:gridCol w:w="1401"/>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2" w:type="pct"/>
            <w:vMerge w:val="restart"/>
            <w:shd w:val="clear" w:color="auto" w:fill="4F81BD"/>
            <w:noWrap w:val="0"/>
            <w:tcMar>
              <w:top w:w="8" w:type="dxa"/>
              <w:left w:w="8" w:type="dxa"/>
              <w:right w:w="8" w:type="dxa"/>
            </w:tcMar>
            <w:vAlign w:val="center"/>
          </w:tcPr>
          <w:p>
            <w:pPr>
              <w:pStyle w:val="38"/>
              <w:bidi w:val="0"/>
              <w:jc w:val="center"/>
              <w:rPr>
                <w:rFonts w:hint="eastAsia"/>
                <w:b/>
                <w:bCs/>
                <w:color w:val="FFFFFF"/>
                <w:lang w:eastAsia="zh-CN"/>
              </w:rPr>
            </w:pPr>
            <w:r>
              <w:rPr>
                <w:rFonts w:hint="eastAsia"/>
                <w:b/>
                <w:bCs/>
                <w:color w:val="FFFFFF"/>
                <w:lang w:eastAsia="zh-CN"/>
              </w:rPr>
              <w:t>学院名称</w:t>
            </w:r>
          </w:p>
        </w:tc>
        <w:tc>
          <w:tcPr>
            <w:tcW w:w="813" w:type="pct"/>
            <w:vMerge w:val="restart"/>
            <w:shd w:val="clear" w:color="auto" w:fill="4F81BD"/>
            <w:noWrap w:val="0"/>
            <w:tcMar>
              <w:top w:w="8" w:type="dxa"/>
              <w:left w:w="8" w:type="dxa"/>
              <w:right w:w="8" w:type="dxa"/>
            </w:tcMar>
            <w:vAlign w:val="center"/>
          </w:tcPr>
          <w:p>
            <w:pPr>
              <w:pStyle w:val="38"/>
              <w:bidi w:val="0"/>
              <w:jc w:val="center"/>
              <w:rPr>
                <w:b/>
                <w:bCs/>
                <w:color w:val="FFFFFF"/>
              </w:rPr>
            </w:pPr>
            <w:r>
              <w:rPr>
                <w:rFonts w:hint="eastAsia"/>
                <w:b/>
                <w:bCs/>
                <w:color w:val="FFFFFF"/>
              </w:rPr>
              <w:t>总人数</w:t>
            </w:r>
          </w:p>
        </w:tc>
        <w:tc>
          <w:tcPr>
            <w:tcW w:w="1623" w:type="pct"/>
            <w:gridSpan w:val="2"/>
            <w:shd w:val="clear" w:color="auto" w:fill="4F81BD"/>
            <w:noWrap w:val="0"/>
            <w:tcMar>
              <w:top w:w="8" w:type="dxa"/>
              <w:left w:w="8" w:type="dxa"/>
              <w:right w:w="8" w:type="dxa"/>
            </w:tcMar>
            <w:vAlign w:val="center"/>
          </w:tcPr>
          <w:p>
            <w:pPr>
              <w:pStyle w:val="38"/>
              <w:bidi w:val="0"/>
              <w:jc w:val="center"/>
              <w:rPr>
                <w:rFonts w:hint="eastAsia" w:eastAsia="宋体"/>
                <w:b/>
                <w:bCs/>
                <w:color w:val="FFFFFF"/>
                <w:lang w:eastAsia="zh-CN"/>
              </w:rPr>
            </w:pPr>
            <w:r>
              <w:rPr>
                <w:rFonts w:hint="eastAsia"/>
                <w:b/>
                <w:bCs/>
                <w:color w:val="FFFFFF"/>
                <w:lang w:eastAsia="zh-CN"/>
              </w:rPr>
              <w:t>签订协议和劳动合同就业率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2" w:type="pct"/>
            <w:vMerge w:val="continue"/>
            <w:shd w:val="clear" w:color="auto" w:fill="4F81BD"/>
            <w:noWrap w:val="0"/>
            <w:tcMar>
              <w:top w:w="8" w:type="dxa"/>
              <w:left w:w="8" w:type="dxa"/>
              <w:right w:w="8" w:type="dxa"/>
            </w:tcMar>
            <w:vAlign w:val="center"/>
          </w:tcPr>
          <w:p>
            <w:pPr>
              <w:pStyle w:val="38"/>
              <w:bidi w:val="0"/>
              <w:jc w:val="center"/>
              <w:rPr>
                <w:b/>
                <w:bCs/>
                <w:color w:val="FFFFFF"/>
              </w:rPr>
            </w:pPr>
          </w:p>
        </w:tc>
        <w:tc>
          <w:tcPr>
            <w:tcW w:w="813" w:type="pct"/>
            <w:vMerge w:val="continue"/>
            <w:shd w:val="clear" w:color="auto" w:fill="4F81BD"/>
            <w:noWrap w:val="0"/>
            <w:tcMar>
              <w:top w:w="8" w:type="dxa"/>
              <w:left w:w="8" w:type="dxa"/>
              <w:right w:w="8" w:type="dxa"/>
            </w:tcMar>
            <w:vAlign w:val="center"/>
          </w:tcPr>
          <w:p>
            <w:pPr>
              <w:pStyle w:val="38"/>
              <w:bidi w:val="0"/>
              <w:jc w:val="center"/>
              <w:rPr>
                <w:b/>
                <w:bCs/>
                <w:color w:val="FFFFFF"/>
              </w:rPr>
            </w:pPr>
          </w:p>
        </w:tc>
        <w:tc>
          <w:tcPr>
            <w:tcW w:w="813" w:type="pct"/>
            <w:shd w:val="clear" w:color="auto" w:fill="4F81BD"/>
            <w:noWrap w:val="0"/>
            <w:tcMar>
              <w:top w:w="8" w:type="dxa"/>
              <w:left w:w="8" w:type="dxa"/>
              <w:right w:w="8" w:type="dxa"/>
            </w:tcMar>
            <w:vAlign w:val="center"/>
          </w:tcPr>
          <w:p>
            <w:pPr>
              <w:pStyle w:val="38"/>
              <w:bidi w:val="0"/>
              <w:jc w:val="center"/>
              <w:rPr>
                <w:b/>
                <w:bCs/>
                <w:color w:val="FFFFFF"/>
              </w:rPr>
            </w:pPr>
            <w:r>
              <w:rPr>
                <w:b/>
                <w:bCs/>
                <w:color w:val="FFFFFF"/>
              </w:rPr>
              <w:t>人数</w:t>
            </w:r>
          </w:p>
        </w:tc>
        <w:tc>
          <w:tcPr>
            <w:tcW w:w="809" w:type="pct"/>
            <w:shd w:val="clear" w:color="auto" w:fill="4F81BD"/>
            <w:noWrap w:val="0"/>
            <w:tcMar>
              <w:top w:w="8" w:type="dxa"/>
              <w:left w:w="8" w:type="dxa"/>
              <w:right w:w="8" w:type="dxa"/>
            </w:tcMar>
            <w:vAlign w:val="center"/>
          </w:tcPr>
          <w:p>
            <w:pPr>
              <w:pStyle w:val="38"/>
              <w:bidi w:val="0"/>
              <w:jc w:val="center"/>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戏曲学院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41</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37</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综合艺术学院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193</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143</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音乐学院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247</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173</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美术学院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502</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306</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戏剧学院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142</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83</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舞蹈学院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274</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156</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新闻传媒学院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85</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23.53%</w:t>
            </w:r>
          </w:p>
        </w:tc>
      </w:tr>
    </w:tbl>
    <w:p>
      <w:pPr>
        <w:bidi w:val="0"/>
        <w:rPr>
          <w:rFonts w:hint="eastAsia"/>
          <w:highlight w:val="yellow"/>
          <w:lang w:val="en-US" w:eastAsia="zh-CN"/>
        </w:rPr>
      </w:pPr>
    </w:p>
    <w:p>
      <w:pPr>
        <w:bidi w:val="0"/>
        <w:rPr>
          <w:rFonts w:hint="eastAsia"/>
          <w:highlight w:val="none"/>
          <w:lang w:val="en-US" w:eastAsia="zh-CN"/>
        </w:rPr>
      </w:pPr>
      <w:r>
        <w:rPr>
          <w:rFonts w:hint="eastAsia"/>
          <w:highlight w:val="none"/>
          <w:lang w:val="en-US" w:eastAsia="zh-CN"/>
        </w:rPr>
        <w:t>灵活就业是指毕业去向是其它形式就业和自由职业的就业方式，安徽艺术职业学院响应教育部和上级主管部门要求，全校整体灵活就业率低，2023届毕业生有38人灵活就业方式就业，占全部毕业生的2.56%。各学院灵活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灵活就业率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5"/>
        <w:gridCol w:w="1475"/>
        <w:gridCol w:w="1356"/>
        <w:gridCol w:w="1356"/>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2"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6"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80" w:type="pct"/>
            <w:gridSpan w:val="3"/>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eastAsia="zh-CN"/>
              </w:rPr>
              <w:t>灵活就业率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97" w:hRule="atLeast"/>
          <w:tblHeader/>
        </w:trPr>
        <w:tc>
          <w:tcPr>
            <w:tcW w:w="2562" w:type="pct"/>
            <w:vMerge w:val="continue"/>
            <w:shd w:val="clear" w:color="auto" w:fill="4F81BD"/>
            <w:noWrap w:val="0"/>
            <w:tcMar>
              <w:top w:w="8" w:type="dxa"/>
              <w:left w:w="8" w:type="dxa"/>
              <w:right w:w="8" w:type="dxa"/>
            </w:tcMar>
            <w:vAlign w:val="center"/>
          </w:tcPr>
          <w:p>
            <w:pPr>
              <w:pStyle w:val="38"/>
              <w:rPr>
                <w:b/>
                <w:bCs/>
                <w:color w:val="FFFFFF"/>
              </w:rPr>
            </w:pPr>
          </w:p>
        </w:tc>
        <w:tc>
          <w:tcPr>
            <w:tcW w:w="856" w:type="pct"/>
            <w:vMerge w:val="continue"/>
            <w:shd w:val="clear" w:color="auto" w:fill="4F81BD"/>
            <w:noWrap w:val="0"/>
            <w:tcMar>
              <w:top w:w="8" w:type="dxa"/>
              <w:left w:w="8" w:type="dxa"/>
              <w:right w:w="8" w:type="dxa"/>
            </w:tcMar>
            <w:vAlign w:val="center"/>
          </w:tcPr>
          <w:p>
            <w:pPr>
              <w:pStyle w:val="38"/>
              <w:rPr>
                <w:b/>
                <w:bCs/>
                <w:color w:val="FFFFFF"/>
              </w:rPr>
            </w:pPr>
          </w:p>
        </w:tc>
        <w:tc>
          <w:tcPr>
            <w:tcW w:w="787"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7" w:type="pct"/>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新闻传媒学院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85</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21</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戏剧学院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142</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舞蹈学院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274</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247</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502</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综合艺术学院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193</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0.52%</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bidi w:val="0"/>
        <w:rPr>
          <w:rFonts w:hint="eastAsia"/>
          <w:highlight w:val="none"/>
          <w:lang w:val="en-US" w:eastAsia="zh-CN"/>
        </w:rPr>
      </w:pPr>
      <w:r>
        <w:rPr>
          <w:rFonts w:hint="eastAsia"/>
          <w:highlight w:val="none"/>
          <w:lang w:val="en-US" w:eastAsia="zh-CN"/>
        </w:rPr>
        <w:t>2015年</w:t>
      </w:r>
      <w:r>
        <w:rPr>
          <w:rFonts w:hint="default"/>
          <w:highlight w:val="none"/>
          <w:lang w:val="en-US" w:eastAsia="zh-CN"/>
        </w:rPr>
        <w:fldChar w:fldCharType="begin"/>
      </w:r>
      <w:r>
        <w:rPr>
          <w:rFonts w:hint="default"/>
          <w:highlight w:val="none"/>
          <w:lang w:val="en-US" w:eastAsia="zh-CN"/>
        </w:rPr>
        <w:instrText xml:space="preserve"> HYPERLINK "https://baike.so.com/doc/3553743-3737550.html" \t "https://baike.so.com/doc/_blank" </w:instrText>
      </w:r>
      <w:r>
        <w:rPr>
          <w:rFonts w:hint="default"/>
          <w:highlight w:val="none"/>
          <w:lang w:val="en-US" w:eastAsia="zh-CN"/>
        </w:rPr>
        <w:fldChar w:fldCharType="separate"/>
      </w:r>
      <w:r>
        <w:rPr>
          <w:rFonts w:hint="default"/>
          <w:highlight w:val="none"/>
          <w:lang w:val="en-US" w:eastAsia="zh-CN"/>
        </w:rPr>
        <w:t>李克强</w:t>
      </w:r>
      <w:r>
        <w:rPr>
          <w:rFonts w:hint="default"/>
          <w:highlight w:val="none"/>
          <w:lang w:val="en-US" w:eastAsia="zh-CN"/>
        </w:rPr>
        <w:fldChar w:fldCharType="end"/>
      </w:r>
      <w:r>
        <w:rPr>
          <w:rFonts w:hint="default"/>
          <w:highlight w:val="none"/>
          <w:lang w:val="en-US" w:eastAsia="zh-CN"/>
        </w:rPr>
        <w:t>总理在政府工作报告提出推动大众创业、万众创新</w:t>
      </w:r>
      <w:r>
        <w:rPr>
          <w:rFonts w:hint="eastAsia"/>
          <w:highlight w:val="none"/>
          <w:lang w:val="en-US" w:eastAsia="zh-CN"/>
        </w:rPr>
        <w:t>，</w:t>
      </w:r>
      <w:r>
        <w:rPr>
          <w:rFonts w:hint="default"/>
          <w:highlight w:val="none"/>
          <w:lang w:val="en-US" w:eastAsia="zh-CN"/>
        </w:rPr>
        <w:t>2018年9月18日，国务院</w:t>
      </w:r>
      <w:r>
        <w:rPr>
          <w:rFonts w:hint="eastAsia"/>
          <w:highlight w:val="none"/>
          <w:lang w:val="en-US" w:eastAsia="zh-CN"/>
        </w:rPr>
        <w:t>又</w:t>
      </w:r>
      <w:r>
        <w:rPr>
          <w:rFonts w:hint="default"/>
          <w:highlight w:val="none"/>
          <w:lang w:val="en-US" w:eastAsia="zh-CN"/>
        </w:rPr>
        <w:t>下发《关于推动创新创业高质量发展打造“双创”升级版的意见》</w:t>
      </w:r>
      <w:r>
        <w:rPr>
          <w:rFonts w:hint="eastAsia"/>
          <w:highlight w:val="none"/>
          <w:lang w:val="en-US" w:eastAsia="zh-CN"/>
        </w:rPr>
        <w:t>，安徽艺术职业学院积极响应，全校2023届毕业生中共有7人落实创新创业。各学院创业率占比分布如表：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创业率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rPr>
              <w:t>创业率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综合艺术学院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193</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新闻传媒学院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85</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247</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502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0.40%</w:t>
            </w:r>
          </w:p>
        </w:tc>
      </w:tr>
    </w:tbl>
    <w:p>
      <w:pPr>
        <w:bidi w:val="0"/>
        <w:rPr>
          <w:rFonts w:hint="eastAsia"/>
          <w:lang w:val="en-US" w:eastAsia="zh-CN"/>
        </w:rPr>
      </w:pPr>
    </w:p>
    <w:p>
      <w:pPr>
        <w:bidi w:val="0"/>
        <w:rPr>
          <w:rFonts w:hint="eastAsia"/>
          <w:highlight w:val="none"/>
          <w:lang w:val="en-US" w:eastAsia="zh-CN"/>
        </w:rPr>
      </w:pPr>
      <w:r>
        <w:rPr>
          <w:rFonts w:hint="eastAsia"/>
          <w:highlight w:val="none"/>
          <w:lang w:val="en-US" w:eastAsia="zh-CN"/>
        </w:rPr>
        <w:t>暂不就业率包含毕业去向是暂不就业拟升学和其它暂不就业，2023届毕业生中两项指标数量分别是2人和16人，占全部毕业生的1.21%。各学院暂不就业率占比分布如表：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 表：2023届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各学院暂不就业率</w:t>
      </w:r>
    </w:p>
    <w:bookmarkEnd w:id="60"/>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57" w:type="pct"/>
            <w:vMerge w:val="restart"/>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总人数</w:t>
            </w:r>
          </w:p>
        </w:tc>
        <w:tc>
          <w:tcPr>
            <w:tcW w:w="1574" w:type="pct"/>
            <w:gridSpan w:val="2"/>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暂不就业率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bidi w:val="0"/>
              <w:rPr>
                <w:rFonts w:hint="eastAsia"/>
                <w:b/>
                <w:bCs/>
                <w:color w:val="FFFFFF"/>
                <w:lang w:val="en-US" w:eastAsia="zh-CN"/>
              </w:rPr>
            </w:pPr>
          </w:p>
        </w:tc>
        <w:tc>
          <w:tcPr>
            <w:tcW w:w="857" w:type="pct"/>
            <w:vMerge w:val="continue"/>
            <w:shd w:val="clear" w:color="auto" w:fill="4F81BD"/>
            <w:noWrap w:val="0"/>
            <w:tcMar>
              <w:top w:w="8" w:type="dxa"/>
              <w:left w:w="8" w:type="dxa"/>
              <w:right w:w="8" w:type="dxa"/>
            </w:tcMar>
            <w:vAlign w:val="center"/>
          </w:tcPr>
          <w:p>
            <w:pPr>
              <w:pStyle w:val="38"/>
              <w:bidi w:val="0"/>
              <w:rPr>
                <w:rFonts w:hint="eastAsia"/>
                <w:b/>
                <w:bCs/>
                <w:color w:val="FFFFFF"/>
                <w:lang w:val="en-US" w:eastAsia="zh-CN"/>
              </w:rPr>
            </w:pPr>
          </w:p>
        </w:tc>
        <w:tc>
          <w:tcPr>
            <w:tcW w:w="788" w:type="pct"/>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人数</w:t>
            </w:r>
          </w:p>
        </w:tc>
        <w:tc>
          <w:tcPr>
            <w:tcW w:w="790" w:type="pct"/>
            <w:gridSpan w:val="2"/>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舞蹈学院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274</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12</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戏剧学院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142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新闻传媒学院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85</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247</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502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0.40%</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66" w:name="_Toc14351"/>
      <w:bookmarkStart w:id="67" w:name="_Toc1775"/>
      <w:bookmarkStart w:id="68" w:name="_Toc2502"/>
      <w:r>
        <w:rPr>
          <w:rFonts w:hint="eastAsia" w:ascii="宋体" w:hAnsi="宋体" w:cs="宋体"/>
          <w:b/>
          <w:bCs/>
          <w:sz w:val="28"/>
          <w:szCs w:val="28"/>
          <w:lang w:val="en-US" w:eastAsia="zh-CN"/>
        </w:rPr>
        <w:t>专科生毕业</w:t>
      </w:r>
      <w:r>
        <w:rPr>
          <w:rFonts w:hint="eastAsia"/>
          <w:lang w:val="en-US" w:eastAsia="zh-CN"/>
        </w:rPr>
        <w:t>去向落实情况专项统计</w:t>
      </w:r>
      <w:bookmarkEnd w:id="66"/>
      <w:bookmarkEnd w:id="67"/>
    </w:p>
    <w:p>
      <w:pPr>
        <w:bidi w:val="0"/>
        <w:rPr>
          <w:rFonts w:hint="eastAsia"/>
          <w:highlight w:val="none"/>
          <w:lang w:val="en-US" w:eastAsia="zh-CN"/>
        </w:rPr>
      </w:pPr>
      <w:r>
        <w:rPr>
          <w:rFonts w:hint="eastAsia"/>
          <w:highlight w:val="none"/>
          <w:lang w:val="en-US" w:eastAsia="zh-CN"/>
        </w:rPr>
        <w:t>2023届专科生总数为1484人，毕业去向落实人数是1360人，初次毕业去向落实率91.64%。专科生整体初次毕业去向落实率高，在全部专科生23个专业中有21个专业的初次毕业去向落实率达到87%的基本目标，其中有19个专业的初次毕业去向落实率达到90%，15个专业的初次毕业去向落实率达到95%，7个专业的毕业生实现初次毕业去向落实率达到100%。专科生签订协议和劳动合同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表：2023届专科生</w:t>
      </w:r>
      <w:r>
        <w:rPr>
          <w:rFonts w:hint="eastAsia" w:ascii="宋体" w:hAnsi="宋体" w:eastAsia="宋体" w:cs="宋体"/>
          <w:kern w:val="2"/>
          <w:sz w:val="21"/>
          <w:szCs w:val="21"/>
          <w:lang w:val="en-US" w:eastAsia="zh-CN" w:bidi="ar-SA"/>
        </w:rPr>
        <w:t>毕业去向落实率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3"/>
        <w:gridCol w:w="1377"/>
        <w:gridCol w:w="137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77"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5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毕业去向落实率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79"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雕刻艺术设计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服装与服饰设计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24</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广告设计与制作</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人物形象设计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17</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戏曲表演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73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72</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空中乘务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戏剧影视表演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动漫设计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高速铁路客运乘务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室内艺术设计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116</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影视编导</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环境艺术设计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59</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数字媒体艺术设计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rPr>
            </w:pPr>
            <w:r>
              <w:rPr>
                <w:rFonts w:hint="eastAsia" w:ascii="宋体" w:hAnsi="宋体" w:cs="宋体"/>
                <w:kern w:val="2"/>
                <w:sz w:val="21"/>
                <w:szCs w:val="21"/>
                <w:lang w:val="en-US" w:eastAsia="zh-CN" w:bidi="ar-SA"/>
              </w:rPr>
              <w:t>75</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rPr>
            </w:pPr>
            <w:r>
              <w:rPr>
                <w:rFonts w:hint="eastAsia" w:ascii="宋体" w:hAnsi="宋体" w:cs="宋体"/>
                <w:kern w:val="2"/>
                <w:sz w:val="21"/>
                <w:szCs w:val="21"/>
                <w:lang w:val="en-US" w:eastAsia="zh-CN" w:bidi="ar-SA"/>
              </w:rPr>
              <w:t>71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257</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242</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rPr>
            </w:pPr>
            <w:r>
              <w:rPr>
                <w:rFonts w:hint="eastAsia" w:ascii="宋体" w:hAnsi="宋体" w:cs="宋体"/>
                <w:kern w:val="2"/>
                <w:sz w:val="21"/>
                <w:szCs w:val="21"/>
                <w:lang w:val="en-US" w:eastAsia="zh-CN" w:bidi="ar-SA"/>
              </w:rPr>
              <w:t>82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rPr>
            </w:pPr>
            <w:r>
              <w:rPr>
                <w:rFonts w:hint="eastAsia" w:ascii="宋体" w:hAnsi="宋体" w:cs="宋体"/>
                <w:kern w:val="2"/>
                <w:sz w:val="21"/>
                <w:szCs w:val="21"/>
                <w:lang w:val="en-US" w:eastAsia="zh-CN" w:bidi="ar-SA"/>
              </w:rPr>
              <w:t>77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国际标准舞</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110</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摄影摄像技术</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19</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播音与主持</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85</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76</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153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65.36%</w:t>
            </w:r>
          </w:p>
        </w:tc>
      </w:tr>
    </w:tbl>
    <w:p>
      <w:pPr>
        <w:pStyle w:val="46"/>
        <w:spacing w:line="360" w:lineRule="auto"/>
        <w:ind w:firstLine="422"/>
        <w:jc w:val="center"/>
        <w:rPr>
          <w:rFonts w:hint="eastAsia" w:ascii="宋体" w:hAnsi="宋体" w:cs="宋体"/>
          <w:b/>
          <w:bCs/>
        </w:rPr>
      </w:pPr>
    </w:p>
    <w:p>
      <w:pPr>
        <w:bidi w:val="0"/>
        <w:rPr>
          <w:rFonts w:hint="eastAsia"/>
          <w:highlight w:val="none"/>
          <w:lang w:val="en-US" w:eastAsia="zh-CN"/>
        </w:rPr>
      </w:pPr>
      <w:r>
        <w:rPr>
          <w:rFonts w:hint="eastAsia"/>
          <w:highlight w:val="none"/>
          <w:lang w:val="en-US" w:eastAsia="zh-CN"/>
        </w:rPr>
        <w:t>2023届专科生共有918人通过签订就业协议和劳动合同方式就业，占全部专科生的61.86%，其中有17个专业的签订协议和劳动合同就业率超过60%，专科生实际就业人数多。专科生签订就业协议和劳动合同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表：2023届专科生</w:t>
      </w:r>
      <w:r>
        <w:rPr>
          <w:rFonts w:hint="eastAsia" w:ascii="宋体" w:hAnsi="宋体" w:eastAsia="宋体" w:cs="宋体"/>
          <w:kern w:val="2"/>
          <w:sz w:val="21"/>
          <w:szCs w:val="21"/>
          <w:lang w:val="en-US" w:eastAsia="zh-CN" w:bidi="ar-SA"/>
        </w:rPr>
        <w:t>签订协议和劳动合同就业率</w:t>
      </w:r>
    </w:p>
    <w:tbl>
      <w:tblPr>
        <w:tblStyle w:val="17"/>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5"/>
        <w:gridCol w:w="1388"/>
        <w:gridCol w:w="13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88"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63" w:type="dxa"/>
            <w:gridSpan w:val="2"/>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签订协议和劳动合同就业率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88"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65"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人数</w:t>
            </w:r>
          </w:p>
        </w:tc>
        <w:tc>
          <w:tcPr>
            <w:tcW w:w="1398"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戏曲表演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28</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高速铁路客运乘务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60</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52</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空中乘务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32</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雕刻艺术设计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国际标准舞</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86</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音乐表演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257</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182</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人物形象设计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17</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摄影摄像技术</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19</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13</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环境艺术设计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41</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表演艺术</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53</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动漫设计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60</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38</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服装与服饰设计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数字媒体艺术设计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cs="宋体"/>
                <w:kern w:val="2"/>
                <w:sz w:val="21"/>
                <w:szCs w:val="21"/>
                <w:lang w:val="en-US" w:eastAsia="zh-CN" w:bidi="ar-SA"/>
              </w:rPr>
              <w:t>47</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室内艺术设计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影视编导</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38</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戏剧影视表演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33</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美术</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22</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舞蹈表演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广告设计与制作</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32</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播音与主持</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85</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23.53%</w:t>
            </w:r>
          </w:p>
        </w:tc>
      </w:tr>
    </w:tbl>
    <w:p>
      <w:pPr>
        <w:pStyle w:val="46"/>
        <w:spacing w:line="360" w:lineRule="auto"/>
        <w:ind w:firstLine="422"/>
        <w:jc w:val="center"/>
        <w:rPr>
          <w:rFonts w:hint="eastAsia" w:ascii="宋体" w:hAnsi="宋体" w:cs="宋体"/>
          <w:b/>
          <w:bCs/>
        </w:rPr>
      </w:pPr>
    </w:p>
    <w:p>
      <w:pPr>
        <w:bidi w:val="0"/>
        <w:rPr>
          <w:rFonts w:hint="eastAsia"/>
          <w:highlight w:val="none"/>
          <w:lang w:val="en-US" w:eastAsia="zh-CN"/>
        </w:rPr>
      </w:pPr>
      <w:r>
        <w:rPr>
          <w:rFonts w:hint="eastAsia"/>
          <w:highlight w:val="none"/>
          <w:lang w:val="en-US" w:eastAsia="zh-CN"/>
        </w:rPr>
        <w:t>2023届专科生有38人通过灵活就业方式就业，7人自主就业，两者共占全部专科生的3.03%。专科生灵活就业和创业率占比分布如表：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表：2023届专科生</w:t>
      </w:r>
      <w:r>
        <w:rPr>
          <w:rFonts w:hint="eastAsia" w:ascii="宋体" w:hAnsi="宋体" w:eastAsia="宋体" w:cs="宋体"/>
          <w:kern w:val="2"/>
          <w:sz w:val="21"/>
          <w:szCs w:val="21"/>
          <w:lang w:val="en-US" w:eastAsia="zh-CN" w:bidi="ar-SA"/>
        </w:rPr>
        <w:t>灵活就业率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5"/>
        <w:gridCol w:w="1395"/>
        <w:gridCol w:w="135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4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灵活就业率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5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8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播音与主持</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85</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雕刻艺术设计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戏剧影视表演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服装与服饰设计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舞蹈表演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动漫设计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高速铁路客运乘务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影视编导</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数字媒体艺术设计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音乐表演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257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国际标准舞</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室内艺术设计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0.83%</w:t>
            </w:r>
          </w:p>
        </w:tc>
      </w:tr>
    </w:tbl>
    <w:p>
      <w:pPr>
        <w:pStyle w:val="46"/>
        <w:tabs>
          <w:tab w:val="left" w:pos="6186"/>
        </w:tabs>
        <w:spacing w:line="360" w:lineRule="auto"/>
        <w:ind w:firstLine="422"/>
        <w:jc w:val="center"/>
        <w:rPr>
          <w:rFonts w:hint="eastAsia" w:ascii="宋体" w:hAnsi="宋体" w:cs="宋体"/>
          <w:b/>
          <w:bCs/>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表：2023届专科生</w:t>
      </w:r>
      <w:r>
        <w:rPr>
          <w:rFonts w:hint="eastAsia" w:ascii="宋体" w:hAnsi="宋体" w:eastAsia="宋体" w:cs="宋体"/>
          <w:kern w:val="2"/>
          <w:sz w:val="21"/>
          <w:szCs w:val="21"/>
          <w:lang w:val="en-US" w:eastAsia="zh-CN" w:bidi="ar-SA"/>
        </w:rPr>
        <w:t>创业率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5"/>
        <w:gridCol w:w="1395"/>
        <w:gridCol w:w="135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4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创业率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5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8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高速铁路客运乘务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广告设计与制作</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播音与主持</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85</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室内艺术设计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257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0.39%</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bookmarkEnd w:id="68"/>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69" w:name="_Toc9812"/>
      <w:bookmarkStart w:id="70" w:name="_Toc18191"/>
      <w:bookmarkStart w:id="71" w:name="_Toc23132"/>
      <w:r>
        <w:rPr>
          <w:rFonts w:hint="eastAsia" w:ascii="宋体" w:hAnsi="宋体" w:cs="宋体"/>
          <w:b/>
          <w:bCs/>
          <w:sz w:val="28"/>
          <w:szCs w:val="28"/>
          <w:lang w:val="en-US" w:eastAsia="zh-CN"/>
        </w:rPr>
        <w:t>特殊群体</w:t>
      </w:r>
      <w:r>
        <w:rPr>
          <w:rFonts w:hint="eastAsia"/>
          <w:lang w:val="en-US" w:eastAsia="zh-CN"/>
        </w:rPr>
        <w:t>去向落实情况专项统计</w:t>
      </w:r>
      <w:bookmarkEnd w:id="69"/>
      <w:bookmarkEnd w:id="70"/>
    </w:p>
    <w:p>
      <w:pPr>
        <w:bidi w:val="0"/>
        <w:rPr>
          <w:rFonts w:hint="eastAsia"/>
          <w:highlight w:val="none"/>
          <w:lang w:val="en-US" w:eastAsia="zh-CN"/>
        </w:rPr>
      </w:pPr>
      <w:r>
        <w:rPr>
          <w:rFonts w:hint="eastAsia"/>
          <w:highlight w:val="none"/>
          <w:lang w:val="en-US" w:eastAsia="zh-CN"/>
        </w:rPr>
        <w:t>2023届特殊群体毕业生总数为83人，毕业去向落实人数是80人，初次毕业去向落实率96.39%。特殊群体毕业生整体初次毕业去向落实率高，在全部特殊群体毕业生7个院系中有7个院系的初次毕业去向落实率达到87%的基本目标。特殊群体毕业生签订协议和劳动合同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表：2023届特殊群体毕业生毕业去向落实率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3"/>
        <w:gridCol w:w="1377"/>
        <w:gridCol w:w="137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院系名称</w:t>
            </w:r>
          </w:p>
        </w:tc>
        <w:tc>
          <w:tcPr>
            <w:tcW w:w="1377"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5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毕业去向落实率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79"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24</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戏曲学院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新闻传媒学院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综合艺术学院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16</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15</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20</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90.00%</w:t>
            </w:r>
          </w:p>
        </w:tc>
      </w:tr>
    </w:tbl>
    <w:p>
      <w:pPr>
        <w:pStyle w:val="46"/>
        <w:spacing w:line="360" w:lineRule="auto"/>
        <w:ind w:firstLine="422"/>
        <w:jc w:val="center"/>
        <w:rPr>
          <w:rFonts w:hint="eastAsia" w:ascii="宋体" w:hAnsi="宋体" w:cs="宋体"/>
          <w:b/>
          <w:bCs/>
        </w:rPr>
      </w:pPr>
    </w:p>
    <w:p>
      <w:pPr>
        <w:bidi w:val="0"/>
        <w:rPr>
          <w:rFonts w:hint="eastAsia"/>
          <w:highlight w:val="none"/>
          <w:lang w:val="en-US" w:eastAsia="zh-CN"/>
        </w:rPr>
      </w:pPr>
      <w:r>
        <w:rPr>
          <w:rFonts w:hint="eastAsia"/>
          <w:highlight w:val="none"/>
          <w:lang w:val="en-US" w:eastAsia="zh-CN"/>
        </w:rPr>
        <w:t>2023届特殊群体毕业生共有55人通过签订就业协议和劳动合同方式就业，占全部特殊群体毕业生的66.27%，其中有4个院系的签订协议和劳动合同就业率超过60%，特殊群体毕业生实际就业人数多。特殊群体毕业生签订就业协议和劳动合同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表：2023届特殊群体毕业生签订协议和劳动合同就业率</w:t>
      </w:r>
    </w:p>
    <w:tbl>
      <w:tblPr>
        <w:tblStyle w:val="17"/>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5"/>
        <w:gridCol w:w="1388"/>
        <w:gridCol w:w="13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院系名称</w:t>
            </w:r>
          </w:p>
        </w:tc>
        <w:tc>
          <w:tcPr>
            <w:tcW w:w="1388"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63" w:type="dxa"/>
            <w:gridSpan w:val="2"/>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签订协议和劳动合同就业率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88"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65"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人数</w:t>
            </w:r>
          </w:p>
        </w:tc>
        <w:tc>
          <w:tcPr>
            <w:tcW w:w="1398"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综合艺术学院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舞蹈学院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20</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美术学院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16</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音乐学院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16</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戏剧学院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新闻传媒学院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25.00%</w:t>
            </w:r>
          </w:p>
        </w:tc>
      </w:tr>
    </w:tbl>
    <w:p>
      <w:pPr>
        <w:pStyle w:val="46"/>
        <w:spacing w:line="360" w:lineRule="auto"/>
        <w:ind w:firstLine="422"/>
        <w:jc w:val="center"/>
        <w:rPr>
          <w:rFonts w:hint="eastAsia" w:ascii="宋体" w:hAnsi="宋体" w:cs="宋体"/>
          <w:b/>
          <w:bCs/>
        </w:rPr>
      </w:pPr>
    </w:p>
    <w:p>
      <w:pPr>
        <w:numPr>
          <w:ilvl w:val="0"/>
          <w:numId w:val="0"/>
        </w:numPr>
        <w:bidi w:val="0"/>
        <w:rPr>
          <w:rFonts w:hint="eastAsia"/>
          <w:highlight w:val="none"/>
          <w:lang w:val="en-US" w:eastAsia="zh-CN"/>
        </w:rPr>
      </w:pPr>
      <w:r>
        <w:rPr>
          <w:rFonts w:hint="eastAsia"/>
          <w:highlight w:val="none"/>
          <w:lang w:val="en-US" w:eastAsia="zh-CN"/>
        </w:rPr>
        <w:t>2023届特殊群体毕业生中没有人通过灵活就业方式就业和自主就业</w:t>
      </w:r>
      <w:bookmarkEnd w:id="71"/>
      <w:r>
        <w:rPr>
          <w:rFonts w:hint="eastAsia"/>
          <w:highlight w:val="none"/>
          <w:lang w:val="en-US" w:eastAsia="zh-CN"/>
        </w:rPr>
        <w:t>。</w:t>
      </w:r>
    </w:p>
    <w:p>
      <w:pPr>
        <w:pStyle w:val="2"/>
        <w:bidi w:val="0"/>
        <w:rPr>
          <w:rFonts w:hint="eastAsia"/>
        </w:rPr>
      </w:pPr>
      <w:bookmarkStart w:id="72" w:name="_Toc23809"/>
      <w:bookmarkStart w:id="73" w:name="_Toc16026"/>
      <w:bookmarkStart w:id="74" w:name="_Toc1152"/>
      <w:bookmarkStart w:id="75" w:name="_Toc27429"/>
      <w:bookmarkStart w:id="76" w:name="_Toc9550"/>
      <w:bookmarkStart w:id="77" w:name="_Toc30633"/>
      <w:bookmarkStart w:id="78" w:name="_Toc20764"/>
      <w:bookmarkStart w:id="79" w:name="_Toc13942"/>
      <w:r>
        <w:rPr>
          <w:rFonts w:hint="eastAsia"/>
          <w:lang w:val="en-US" w:eastAsia="zh-CN"/>
        </w:rPr>
        <w:t>第三部分 毕业生去向落实情况</w:t>
      </w:r>
      <w:r>
        <w:rPr>
          <w:rFonts w:hint="eastAsia"/>
        </w:rPr>
        <w:t>分析</w:t>
      </w:r>
      <w:bookmarkEnd w:id="72"/>
      <w:bookmarkEnd w:id="73"/>
      <w:bookmarkEnd w:id="74"/>
      <w:bookmarkEnd w:id="75"/>
    </w:p>
    <w:bookmarkEnd w:id="76"/>
    <w:bookmarkEnd w:id="77"/>
    <w:bookmarkEnd w:id="78"/>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80" w:name="_bookmark11"/>
      <w:bookmarkEnd w:id="80"/>
      <w:bookmarkStart w:id="81" w:name="（一）毕业去向分布"/>
      <w:bookmarkEnd w:id="81"/>
      <w:bookmarkStart w:id="82" w:name="_Toc28856"/>
      <w:bookmarkStart w:id="83" w:name="_Toc27749"/>
      <w:bookmarkStart w:id="84" w:name="_Toc11381"/>
      <w:bookmarkStart w:id="85" w:name="_Toc8946"/>
      <w:bookmarkStart w:id="86" w:name="_Toc7620"/>
      <w:bookmarkStart w:id="87" w:name="_Toc21175"/>
      <w:r>
        <w:rPr>
          <w:rFonts w:hint="eastAsia" w:ascii="宋体" w:hAnsi="宋体" w:cs="宋体"/>
          <w:b/>
          <w:bCs/>
          <w:sz w:val="28"/>
          <w:szCs w:val="28"/>
          <w:lang w:val="en-US" w:eastAsia="zh-CN"/>
        </w:rPr>
        <w:t>毕业去向分布</w:t>
      </w:r>
      <w:bookmarkEnd w:id="82"/>
      <w:bookmarkEnd w:id="83"/>
      <w:bookmarkEnd w:id="84"/>
      <w:bookmarkEnd w:id="85"/>
    </w:p>
    <w:p>
      <w:pPr>
        <w:bidi w:val="0"/>
        <w:jc w:val="left"/>
        <w:rPr>
          <w:rFonts w:hint="eastAsia"/>
          <w:lang w:val="en-US" w:eastAsia="zh-CN"/>
        </w:rPr>
      </w:pPr>
      <w:r>
        <w:rPr>
          <w:rFonts w:hint="eastAsia" w:cs="Times New Roman"/>
          <w:b w:val="0"/>
          <w:bCs w:val="0"/>
          <w:kern w:val="2"/>
          <w:sz w:val="24"/>
          <w:szCs w:val="22"/>
          <w:lang w:val="en-US" w:eastAsia="zh-CN" w:bidi="ar-SA"/>
        </w:rPr>
        <w:t>2023届</w:t>
      </w:r>
      <w:r>
        <w:rPr>
          <w:rFonts w:hint="eastAsia"/>
          <w:lang w:val="en-US" w:eastAsia="zh-CN"/>
        </w:rPr>
        <w:t>毕业生</w:t>
      </w:r>
      <w:r>
        <w:rPr>
          <w:rFonts w:hint="eastAsia" w:ascii="Times New Roman" w:hAnsi="Times New Roman" w:eastAsia="宋体" w:cs="Times New Roman"/>
          <w:b w:val="0"/>
          <w:bCs w:val="0"/>
          <w:kern w:val="2"/>
          <w:sz w:val="24"/>
          <w:szCs w:val="22"/>
          <w:lang w:val="en-US" w:eastAsia="zh-CN" w:bidi="ar-SA"/>
        </w:rPr>
        <w:t>总体去向如</w:t>
      </w:r>
      <w:r>
        <w:rPr>
          <w:rFonts w:hint="eastAsia" w:cs="Times New Roman"/>
          <w:b w:val="0"/>
          <w:bCs w:val="0"/>
          <w:kern w:val="2"/>
          <w:sz w:val="24"/>
          <w:szCs w:val="22"/>
          <w:lang w:val="en-US" w:eastAsia="zh-CN" w:bidi="ar-SA"/>
        </w:rPr>
        <w:t>下图所示</w:t>
      </w:r>
      <w:r>
        <w:rPr>
          <w:rFonts w:hint="eastAsia" w:ascii="Times New Roman" w:hAnsi="Times New Roman" w:eastAsia="宋体" w:cs="Times New Roman"/>
          <w:b w:val="0"/>
          <w:bCs w:val="0"/>
          <w:kern w:val="2"/>
          <w:sz w:val="24"/>
          <w:szCs w:val="22"/>
          <w:lang w:val="en-US" w:eastAsia="zh-CN" w:bidi="ar-SA"/>
        </w:rPr>
        <w:t>，主要去向是签就业协议形式就业697人，占比46.97%，其次是升学396人占比26.68%，然后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签劳动合同形式就业183人占比12.33%</w:t>
      </w:r>
      <w:r>
        <w:rPr>
          <w:rFonts w:hint="eastAsia"/>
          <w:lang w:val="en-US" w:eastAsia="zh-CN"/>
        </w:rPr>
        <w:t>，实际工作毕业生人数多。另外有</w:t>
      </w:r>
      <w:r>
        <w:rPr>
          <w:rFonts w:hint="eastAsia" w:ascii="Times New Roman" w:hAnsi="Times New Roman" w:eastAsia="宋体" w:cs="Times New Roman"/>
          <w:b w:val="0"/>
          <w:bCs w:val="0"/>
          <w:kern w:val="2"/>
          <w:sz w:val="24"/>
          <w:szCs w:val="22"/>
          <w:lang w:val="en-US" w:eastAsia="zh-CN" w:bidi="ar-SA"/>
        </w:rPr>
        <w:t>35</w:t>
      </w:r>
      <w:r>
        <w:rPr>
          <w:rFonts w:hint="eastAsia"/>
          <w:lang w:val="en-US" w:eastAsia="zh-CN"/>
        </w:rPr>
        <w:t>名毕业生应征义务兵，</w:t>
      </w:r>
      <w:r>
        <w:rPr>
          <w:rFonts w:hint="eastAsia" w:ascii="Times New Roman" w:hAnsi="Times New Roman" w:eastAsia="宋体" w:cs="Times New Roman"/>
          <w:b w:val="0"/>
          <w:bCs w:val="0"/>
          <w:kern w:val="2"/>
          <w:sz w:val="24"/>
          <w:szCs w:val="22"/>
          <w:lang w:val="en-US" w:eastAsia="zh-CN" w:bidi="ar-SA"/>
        </w:rPr>
        <w:t>7</w:t>
      </w:r>
      <w:r>
        <w:rPr>
          <w:rFonts w:hint="eastAsia"/>
          <w:lang w:val="en-US" w:eastAsia="zh-CN"/>
        </w:rPr>
        <w:t>名毕业生创业成功，</w:t>
      </w:r>
      <w:r>
        <w:rPr>
          <w:rFonts w:hint="eastAsia" w:ascii="Times New Roman" w:hAnsi="Times New Roman" w:eastAsia="宋体" w:cs="Times New Roman"/>
          <w:b w:val="0"/>
          <w:bCs w:val="0"/>
          <w:kern w:val="2"/>
          <w:sz w:val="24"/>
          <w:szCs w:val="22"/>
          <w:lang w:val="en-US" w:eastAsia="zh-CN" w:bidi="ar-SA"/>
        </w:rPr>
        <w:t>3</w:t>
      </w:r>
      <w:r>
        <w:rPr>
          <w:rFonts w:hint="eastAsia"/>
          <w:lang w:val="en-US" w:eastAsia="zh-CN"/>
        </w:rPr>
        <w:t>名毕业生服务于国家和地方基层项目。</w:t>
      </w:r>
    </w:p>
    <w:p>
      <w:pPr>
        <w:pStyle w:val="16"/>
        <w:ind w:left="0" w:leftChars="0" w:firstLine="0" w:firstLineChars="0"/>
        <w:jc w:val="center"/>
        <w:rPr>
          <w:rFonts w:hint="eastAsia" w:ascii="宋体" w:hAnsi="宋体" w:eastAsia="宋体" w:cs="宋体"/>
          <w:b/>
          <w:bCs/>
          <w:sz w:val="21"/>
          <w:szCs w:val="21"/>
        </w:rPr>
      </w:pPr>
      <w:r>
        <w:rPr>
          <w:rFonts w:hint="eastAsia" w:eastAsia="宋体"/>
          <w:lang w:eastAsia="zh-CN"/>
        </w:rPr>
        <w:drawing>
          <wp:inline distT="0" distB="0" distL="114300" distR="114300">
            <wp:extent cx="5455920" cy="4376420"/>
            <wp:effectExtent l="0" t="0" r="6350" b="6350"/>
            <wp:docPr id="20" name="图表 20" descr="7b0a202020202263686172745265734964223a20223230343733343130220a7d0a" title="${chart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：2023届毕业生毕业</w:t>
      </w:r>
      <w:r>
        <w:rPr>
          <w:rFonts w:hint="eastAsia" w:ascii="宋体" w:hAnsi="宋体" w:eastAsia="宋体" w:cs="宋体"/>
          <w:kern w:val="2"/>
          <w:sz w:val="21"/>
          <w:szCs w:val="21"/>
          <w:lang w:val="en-US" w:eastAsia="zh-CN" w:bidi="ar-SA"/>
        </w:rPr>
        <w:t>总体去向人数分布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88" w:name="_bookmark12"/>
      <w:bookmarkEnd w:id="88"/>
      <w:bookmarkStart w:id="89" w:name="（二）单位行业分布[ ]"/>
      <w:bookmarkEnd w:id="89"/>
      <w:bookmarkStart w:id="90" w:name="_Toc19940"/>
      <w:bookmarkStart w:id="91" w:name="_Toc3593"/>
      <w:bookmarkStart w:id="92" w:name="_Toc23150"/>
      <w:bookmarkStart w:id="93" w:name="_Toc8270"/>
      <w:r>
        <w:rPr>
          <w:rFonts w:hint="eastAsia" w:ascii="宋体" w:hAnsi="宋体" w:cs="宋体"/>
          <w:b/>
          <w:bCs/>
          <w:sz w:val="28"/>
          <w:szCs w:val="28"/>
          <w:lang w:val="en-US" w:eastAsia="zh-CN"/>
        </w:rPr>
        <w:t>单位行业分布</w:t>
      </w:r>
      <w:bookmarkEnd w:id="90"/>
      <w:r>
        <w:rPr>
          <w:rStyle w:val="24"/>
          <w:rFonts w:hint="eastAsia" w:ascii="宋体" w:hAnsi="宋体" w:cs="宋体"/>
          <w:b/>
          <w:bCs/>
          <w:sz w:val="28"/>
          <w:szCs w:val="28"/>
          <w:lang w:val="en-US" w:eastAsia="zh-CN"/>
        </w:rPr>
        <w:footnoteReference w:id="5"/>
      </w:r>
      <w:bookmarkEnd w:id="91"/>
      <w:bookmarkEnd w:id="92"/>
      <w:bookmarkEnd w:id="93"/>
    </w:p>
    <w:p>
      <w:pPr>
        <w:bidi w:val="0"/>
        <w:rPr>
          <w:rFonts w:hint="eastAsia"/>
          <w:highlight w:val="yellow"/>
          <w:lang w:val="en-US" w:eastAsia="zh-CN"/>
        </w:rPr>
      </w:pPr>
      <w:r>
        <w:rPr>
          <w:rFonts w:hint="eastAsia"/>
          <w:lang w:val="en-US" w:eastAsia="zh-CN"/>
        </w:rPr>
        <w:t>2023届毕业生就业单位行业分布如</w:t>
      </w:r>
      <w:r>
        <w:rPr>
          <w:rFonts w:hint="eastAsia" w:cs="Times New Roman"/>
          <w:b w:val="0"/>
          <w:bCs w:val="0"/>
          <w:kern w:val="2"/>
          <w:sz w:val="24"/>
          <w:szCs w:val="22"/>
          <w:lang w:val="en-US" w:eastAsia="zh-CN" w:bidi="ar-SA"/>
        </w:rPr>
        <w:t>下图所示</w:t>
      </w:r>
      <w:r>
        <w:rPr>
          <w:rFonts w:hint="eastAsia"/>
          <w:lang w:val="en-US" w:eastAsia="zh-CN"/>
        </w:rPr>
        <w:t>，毕业生就业单位行业分布第一位的是</w:t>
      </w:r>
      <w:r>
        <w:rPr>
          <w:rFonts w:hint="eastAsia" w:ascii="Times New Roman" w:hAnsi="Times New Roman" w:eastAsia="宋体" w:cs="Times New Roman"/>
          <w:b w:val="0"/>
          <w:bCs w:val="0"/>
          <w:kern w:val="2"/>
          <w:sz w:val="24"/>
          <w:szCs w:val="22"/>
          <w:lang w:val="en-US" w:eastAsia="zh-CN" w:bidi="ar-SA"/>
        </w:rPr>
        <w:t>文化、体育和娱乐业226人占比24.78%，其次是教育153人占比16.78%，然后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批发和零售业96人占比10.53%</w:t>
      </w:r>
      <w:r>
        <w:rPr>
          <w:rFonts w:hint="eastAsia"/>
          <w:highlight w:val="none"/>
          <w:lang w:val="en-US" w:eastAsia="zh-CN"/>
        </w:rPr>
        <w:t xml:space="preserve"> 。分析可见，毕业生就业单位行业分布呈现明显的特点，以</w:t>
      </w:r>
      <w:r>
        <w:rPr>
          <w:rFonts w:hint="eastAsia" w:ascii="Times New Roman" w:hAnsi="Times New Roman" w:eastAsia="宋体" w:cs="Times New Roman"/>
          <w:b w:val="0"/>
          <w:bCs w:val="0"/>
          <w:kern w:val="2"/>
          <w:sz w:val="24"/>
          <w:szCs w:val="22"/>
          <w:highlight w:val="none"/>
          <w:lang w:val="en-US" w:eastAsia="zh-CN" w:bidi="ar-SA"/>
        </w:rPr>
        <w:t>文化、体育和娱乐业</w:t>
      </w:r>
      <w:r>
        <w:rPr>
          <w:rFonts w:hint="eastAsia" w:ascii="Times New Roman" w:hAnsi="Times New Roman" w:cs="Times New Roman"/>
          <w:b w:val="0"/>
          <w:bCs w:val="0"/>
          <w:kern w:val="2"/>
          <w:sz w:val="24"/>
          <w:szCs w:val="22"/>
          <w:highlight w:val="none"/>
          <w:lang w:val="en-US" w:eastAsia="zh-CN" w:bidi="ar-SA"/>
        </w:rPr>
        <w:t>和</w:t>
      </w:r>
      <w:r>
        <w:rPr>
          <w:rFonts w:hint="eastAsia" w:ascii="Times New Roman" w:hAnsi="Times New Roman" w:eastAsia="宋体" w:cs="Times New Roman"/>
          <w:b w:val="0"/>
          <w:bCs w:val="0"/>
          <w:kern w:val="2"/>
          <w:sz w:val="24"/>
          <w:szCs w:val="22"/>
          <w:highlight w:val="none"/>
          <w:lang w:val="en-US" w:eastAsia="zh-CN" w:bidi="ar-SA"/>
        </w:rPr>
        <w:t>教育</w:t>
      </w:r>
      <w:r>
        <w:rPr>
          <w:rFonts w:hint="eastAsia"/>
          <w:highlight w:val="none"/>
          <w:lang w:val="en-US" w:eastAsia="zh-CN"/>
        </w:rPr>
        <w:t>为主，反映出学校的人才培养定位与社会经济发展相匹配。</w:t>
      </w:r>
    </w:p>
    <w:p>
      <w:pPr>
        <w:pStyle w:val="6"/>
        <w:ind w:left="0" w:leftChars="0" w:right="514" w:rightChars="214"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7049135"/>
            <wp:effectExtent l="0" t="0" r="6350" b="0"/>
            <wp:docPr id="33" name="图表 33" descr="7b0a202020202263686172745265734964223a20223230343733343130220a7d0a" title="${chart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：2023届毕业生</w:t>
      </w:r>
      <w:r>
        <w:rPr>
          <w:rFonts w:hint="eastAsia" w:ascii="宋体" w:hAnsi="宋体" w:eastAsia="宋体" w:cs="宋体"/>
          <w:kern w:val="2"/>
          <w:sz w:val="21"/>
          <w:szCs w:val="21"/>
          <w:lang w:val="en-US" w:eastAsia="zh-CN" w:bidi="ar-SA"/>
        </w:rPr>
        <w:t>就业工作单位行业人数分布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94" w:name="_bookmark15"/>
      <w:bookmarkEnd w:id="94"/>
      <w:bookmarkStart w:id="95" w:name="（三）单位性质分布[ ]"/>
      <w:bookmarkEnd w:id="95"/>
      <w:bookmarkStart w:id="96" w:name="_Toc32610"/>
      <w:bookmarkStart w:id="97" w:name="_Toc27210"/>
      <w:bookmarkStart w:id="98" w:name="_Toc15016"/>
      <w:bookmarkStart w:id="99" w:name="_Toc18212"/>
      <w:r>
        <w:rPr>
          <w:rFonts w:hint="eastAsia" w:ascii="宋体" w:hAnsi="宋体" w:cs="宋体"/>
          <w:b/>
          <w:bCs/>
          <w:sz w:val="28"/>
          <w:szCs w:val="28"/>
          <w:lang w:val="en-US" w:eastAsia="zh-CN"/>
        </w:rPr>
        <w:t>单位性质分布</w:t>
      </w:r>
      <w:bookmarkEnd w:id="96"/>
      <w:r>
        <w:rPr>
          <w:rStyle w:val="24"/>
          <w:rFonts w:hint="eastAsia" w:ascii="宋体" w:hAnsi="宋体" w:cs="宋体"/>
          <w:b/>
          <w:bCs/>
          <w:sz w:val="28"/>
          <w:szCs w:val="28"/>
          <w:lang w:val="en-US" w:eastAsia="zh-CN"/>
        </w:rPr>
        <w:footnoteReference w:id="6"/>
      </w:r>
      <w:bookmarkEnd w:id="97"/>
      <w:bookmarkEnd w:id="98"/>
      <w:bookmarkEnd w:id="99"/>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Times New Roman" w:hAnsi="Times New Roman" w:cs="Times New Roman"/>
          <w:lang w:val="en-US" w:eastAsia="zh-CN"/>
        </w:rPr>
      </w:pPr>
      <w:r>
        <w:rPr>
          <w:rFonts w:hint="eastAsia" w:cs="Times New Roman"/>
          <w:lang w:val="en-US" w:eastAsia="zh-CN"/>
        </w:rPr>
        <w:t>2023届毕业生</w:t>
      </w:r>
      <w:r>
        <w:rPr>
          <w:rFonts w:hint="eastAsia" w:ascii="Times New Roman" w:hAnsi="Times New Roman" w:cs="Times New Roman"/>
          <w:lang w:val="en-US" w:eastAsia="zh-CN"/>
        </w:rPr>
        <w:t>就业单位性质分布如</w:t>
      </w:r>
      <w:r>
        <w:rPr>
          <w:rFonts w:hint="eastAsia" w:cs="Times New Roman"/>
          <w:b w:val="0"/>
          <w:bCs w:val="0"/>
          <w:kern w:val="2"/>
          <w:sz w:val="24"/>
          <w:szCs w:val="22"/>
          <w:lang w:val="en-US" w:eastAsia="zh-CN" w:bidi="ar-SA"/>
        </w:rPr>
        <w:t>下图所示</w:t>
      </w:r>
      <w:r>
        <w:rPr>
          <w:rFonts w:hint="eastAsia" w:ascii="Times New Roman" w:hAnsi="Times New Roman" w:cs="Times New Roman"/>
          <w:lang w:val="en-US" w:eastAsia="zh-CN"/>
        </w:rPr>
        <w:t>，</w:t>
      </w:r>
      <w:r>
        <w:rPr>
          <w:rFonts w:hint="eastAsia" w:cs="Times New Roman"/>
          <w:lang w:val="en-US" w:eastAsia="zh-CN"/>
        </w:rPr>
        <w:t>毕业生</w:t>
      </w:r>
      <w:r>
        <w:rPr>
          <w:rFonts w:hint="eastAsia" w:ascii="Times New Roman" w:hAnsi="Times New Roman" w:cs="Times New Roman"/>
          <w:lang w:val="en-US" w:eastAsia="zh-CN"/>
        </w:rPr>
        <w:t>就业单位性质分布第一位的是其他企业853人占比93.53%，其次是国有企业22人占比2.41%，然后是其他事业单位21人占比2.30%。</w:t>
      </w:r>
      <w:r>
        <w:rPr>
          <w:rFonts w:hint="eastAsia" w:cs="Times New Roman"/>
          <w:lang w:val="en-US" w:eastAsia="zh-CN"/>
        </w:rPr>
        <w:t>毕业生</w:t>
      </w:r>
      <w:r>
        <w:rPr>
          <w:rFonts w:hint="eastAsia" w:ascii="Times New Roman" w:hAnsi="Times New Roman" w:cs="Times New Roman"/>
          <w:lang w:val="en-US" w:eastAsia="zh-CN"/>
        </w:rPr>
        <w:t>的就业单位中以其他企业和国有企业就业最为广泛，也是学校</w:t>
      </w:r>
      <w:r>
        <w:rPr>
          <w:rFonts w:hint="eastAsia" w:cs="Times New Roman"/>
          <w:lang w:val="en-US" w:eastAsia="zh-CN"/>
        </w:rPr>
        <w:t>毕业生</w:t>
      </w:r>
      <w:r>
        <w:rPr>
          <w:rFonts w:hint="eastAsia" w:ascii="Times New Roman" w:hAnsi="Times New Roman" w:cs="Times New Roman"/>
          <w:lang w:val="en-US" w:eastAsia="zh-CN"/>
        </w:rPr>
        <w:t>就业的主阵地，符合我校办学特点。</w:t>
      </w:r>
    </w:p>
    <w:p>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eastAsia="宋体"/>
          <w:lang w:eastAsia="zh-CN"/>
        </w:rPr>
        <w:drawing>
          <wp:inline distT="0" distB="0" distL="114300" distR="114300">
            <wp:extent cx="5455920" cy="4053205"/>
            <wp:effectExtent l="0" t="0" r="6350" b="5715"/>
            <wp:docPr id="34" name="图表 34" descr="7b0a202020202263686172745265734964223a20223230343733343130220a7d0a" title="${chart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hint="eastAsia" w:ascii="宋体" w:hAnsi="宋体" w:cs="宋体"/>
          <w:kern w:val="2"/>
          <w:sz w:val="21"/>
          <w:szCs w:val="21"/>
          <w:lang w:val="en-US" w:eastAsia="zh-CN" w:bidi="ar-SA"/>
        </w:rPr>
        <w:t>图：2023届毕业生</w:t>
      </w:r>
      <w:r>
        <w:rPr>
          <w:rFonts w:hint="eastAsia" w:ascii="宋体" w:hAnsi="宋体" w:eastAsia="宋体" w:cs="宋体"/>
          <w:kern w:val="2"/>
          <w:sz w:val="21"/>
          <w:szCs w:val="21"/>
          <w:lang w:val="en-US" w:eastAsia="zh-CN" w:bidi="ar-SA"/>
        </w:rPr>
        <w:t>就业单位性质人数分布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100" w:name="_bookmark17"/>
      <w:bookmarkEnd w:id="100"/>
      <w:bookmarkStart w:id="101" w:name="_bookmark18"/>
      <w:bookmarkEnd w:id="101"/>
      <w:bookmarkStart w:id="102" w:name="（四）工作岗位分布[ ]"/>
      <w:bookmarkEnd w:id="102"/>
      <w:bookmarkStart w:id="103" w:name="_Toc17529"/>
      <w:bookmarkStart w:id="104" w:name="_Toc24101"/>
      <w:bookmarkStart w:id="105" w:name="_Toc2913"/>
      <w:bookmarkStart w:id="106" w:name="_Toc3665"/>
      <w:r>
        <w:rPr>
          <w:rFonts w:hint="eastAsia" w:ascii="宋体" w:hAnsi="宋体" w:cs="宋体"/>
          <w:b/>
          <w:bCs/>
          <w:sz w:val="28"/>
          <w:szCs w:val="28"/>
          <w:lang w:val="en-US" w:eastAsia="zh-CN"/>
        </w:rPr>
        <w:t>工作岗位分布</w:t>
      </w:r>
      <w:bookmarkEnd w:id="103"/>
      <w:r>
        <w:rPr>
          <w:rStyle w:val="24"/>
          <w:rFonts w:hint="eastAsia" w:ascii="宋体" w:hAnsi="宋体" w:cs="宋体"/>
          <w:b/>
          <w:bCs/>
          <w:sz w:val="28"/>
          <w:szCs w:val="28"/>
          <w:lang w:val="en-US" w:eastAsia="zh-CN"/>
        </w:rPr>
        <w:footnoteReference w:id="7"/>
      </w:r>
      <w:bookmarkEnd w:id="104"/>
      <w:bookmarkEnd w:id="105"/>
      <w:bookmarkEnd w:id="106"/>
    </w:p>
    <w:p>
      <w:pPr>
        <w:bidi w:val="0"/>
        <w:rPr>
          <w:rFonts w:hint="eastAsia"/>
          <w:lang w:val="en-US" w:eastAsia="zh-CN"/>
        </w:rPr>
      </w:pPr>
      <w:r>
        <w:rPr>
          <w:rFonts w:hint="eastAsia"/>
          <w:lang w:val="en-US" w:eastAsia="zh-CN"/>
        </w:rPr>
        <w:t>2023届毕业生工作岗位分布如</w:t>
      </w:r>
      <w:r>
        <w:rPr>
          <w:rFonts w:hint="eastAsia" w:cs="Times New Roman"/>
          <w:b w:val="0"/>
          <w:bCs w:val="0"/>
          <w:kern w:val="2"/>
          <w:sz w:val="24"/>
          <w:szCs w:val="22"/>
          <w:lang w:val="en-US" w:eastAsia="zh-CN" w:bidi="ar-SA"/>
        </w:rPr>
        <w:t>下图所示</w:t>
      </w:r>
      <w:r>
        <w:rPr>
          <w:rFonts w:hint="eastAsia"/>
          <w:lang w:val="en-US" w:eastAsia="zh-CN"/>
        </w:rPr>
        <w:t>，工作岗位分布中主要是其他人员343人占比37.61%，</w:t>
      </w:r>
      <w:r>
        <w:rPr>
          <w:rFonts w:hint="eastAsia" w:ascii="Times New Roman" w:hAnsi="Times New Roman" w:eastAsia="宋体" w:cs="Times New Roman"/>
          <w:b w:val="0"/>
          <w:bCs w:val="0"/>
          <w:kern w:val="2"/>
          <w:sz w:val="24"/>
          <w:szCs w:val="22"/>
          <w:lang w:val="en-US" w:eastAsia="zh-CN" w:bidi="ar-SA"/>
        </w:rPr>
        <w:t>其次是教学人员163人占比17.87%，然后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文学艺术工作人员109人占比11.95%</w:t>
      </w:r>
      <w:r>
        <w:rPr>
          <w:rFonts w:hint="eastAsia"/>
          <w:lang w:val="en-US" w:eastAsia="zh-CN"/>
        </w:rPr>
        <w:t>。这与毕业生单位行业分布是一致。</w:t>
      </w:r>
    </w:p>
    <w:p>
      <w:pPr>
        <w:bidi w:val="0"/>
        <w:ind w:left="0" w:leftChars="0" w:firstLine="0" w:firstLineChars="0"/>
        <w:jc w:val="center"/>
        <w:rPr>
          <w:rFonts w:hint="eastAsia"/>
          <w:lang w:val="en-US" w:eastAsia="zh-CN"/>
        </w:rPr>
      </w:pPr>
      <w:r>
        <w:rPr>
          <w:rFonts w:hint="eastAsia" w:eastAsia="宋体"/>
          <w:lang w:eastAsia="zh-CN"/>
        </w:rPr>
        <w:drawing>
          <wp:inline distT="0" distB="0" distL="114300" distR="114300">
            <wp:extent cx="5455920" cy="6096000"/>
            <wp:effectExtent l="0" t="0" r="6350" b="3175"/>
            <wp:docPr id="35" name="图表 35" descr="7b0a202020202263686172745265734964223a20223230343733343130220a7d0a" title="${chart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：2023届毕业生</w:t>
      </w:r>
      <w:r>
        <w:rPr>
          <w:rFonts w:hint="eastAsia" w:ascii="宋体" w:hAnsi="宋体" w:eastAsia="宋体" w:cs="宋体"/>
          <w:kern w:val="2"/>
          <w:sz w:val="21"/>
          <w:szCs w:val="21"/>
          <w:lang w:val="en-US" w:eastAsia="zh-CN" w:bidi="ar-SA"/>
        </w:rPr>
        <w:t>就业工作岗位人数分布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32"/>
          <w:szCs w:val="32"/>
        </w:rPr>
      </w:pPr>
      <w:bookmarkStart w:id="107" w:name="_bookmark20"/>
      <w:bookmarkEnd w:id="107"/>
      <w:bookmarkStart w:id="108" w:name="（五）升学深造情况"/>
      <w:bookmarkEnd w:id="108"/>
      <w:bookmarkStart w:id="109" w:name="_bookmark19"/>
      <w:bookmarkEnd w:id="109"/>
      <w:bookmarkStart w:id="110" w:name="_Toc26899"/>
      <w:bookmarkStart w:id="111" w:name="_Toc7582"/>
      <w:bookmarkStart w:id="112" w:name="_Toc20283"/>
      <w:bookmarkStart w:id="113" w:name="_Toc31854"/>
      <w:r>
        <w:rPr>
          <w:rFonts w:hint="eastAsia" w:ascii="宋体" w:hAnsi="宋体" w:cs="宋体"/>
          <w:b/>
          <w:bCs/>
          <w:sz w:val="28"/>
          <w:szCs w:val="28"/>
          <w:lang w:val="en-US" w:eastAsia="zh-CN"/>
        </w:rPr>
        <w:t>就业地域流向分析</w:t>
      </w:r>
      <w:bookmarkEnd w:id="110"/>
      <w:bookmarkEnd w:id="111"/>
      <w:bookmarkEnd w:id="112"/>
      <w:bookmarkEnd w:id="113"/>
    </w:p>
    <w:p>
      <w:pPr>
        <w:bidi w:val="0"/>
        <w:jc w:val="left"/>
        <w:rPr>
          <w:rFonts w:hint="eastAsia"/>
          <w:lang w:val="en-US" w:eastAsia="zh-CN"/>
        </w:rPr>
      </w:pPr>
      <w:bookmarkStart w:id="114" w:name="_bookmark21"/>
      <w:bookmarkEnd w:id="114"/>
      <w:bookmarkStart w:id="115" w:name="（一）就业所在地区域类型[ ] "/>
      <w:bookmarkEnd w:id="115"/>
      <w:r>
        <w:rPr>
          <w:rFonts w:hint="eastAsia"/>
          <w:lang w:val="en-US" w:eastAsia="zh-CN"/>
        </w:rPr>
        <w:t>2023届毕业生</w:t>
      </w:r>
      <w:r>
        <w:rPr>
          <w:rFonts w:hint="eastAsia" w:ascii="宋体" w:hAnsi="宋体" w:cs="宋体"/>
          <w:sz w:val="24"/>
          <w:szCs w:val="24"/>
          <w:lang w:val="en-US" w:eastAsia="zh-CN"/>
        </w:rPr>
        <w:t>1484</w:t>
      </w:r>
      <w:r>
        <w:rPr>
          <w:rFonts w:hint="eastAsia"/>
          <w:lang w:val="en-US" w:eastAsia="zh-CN"/>
        </w:rPr>
        <w:t>人，毕业去向落实人数</w:t>
      </w:r>
      <w:r>
        <w:rPr>
          <w:rFonts w:hint="eastAsia" w:ascii="宋体" w:hAnsi="宋体" w:cs="宋体"/>
          <w:sz w:val="24"/>
          <w:szCs w:val="24"/>
          <w:lang w:val="en-US" w:eastAsia="zh-CN"/>
        </w:rPr>
        <w:t>1360</w:t>
      </w:r>
      <w:r>
        <w:rPr>
          <w:rFonts w:hint="eastAsia"/>
          <w:lang w:val="en-US" w:eastAsia="zh-CN"/>
        </w:rPr>
        <w:t>人，总体毕业去向落实率</w:t>
      </w:r>
      <w:r>
        <w:rPr>
          <w:rFonts w:hint="eastAsia" w:ascii="宋体" w:hAnsi="宋体" w:cs="宋体"/>
          <w:sz w:val="24"/>
          <w:szCs w:val="24"/>
          <w:lang w:val="en-US" w:eastAsia="zh-CN"/>
        </w:rPr>
        <w:t>91.64%</w:t>
      </w:r>
      <w:r>
        <w:rPr>
          <w:rFonts w:hint="eastAsia"/>
          <w:lang w:val="en-US" w:eastAsia="zh-CN"/>
        </w:rPr>
        <w:t>，实际就业人数</w:t>
      </w:r>
      <w:r>
        <w:rPr>
          <w:rStyle w:val="24"/>
          <w:rFonts w:hint="eastAsia" w:ascii="宋体" w:hAnsi="宋体" w:cs="宋体"/>
          <w:b/>
          <w:bCs/>
          <w:sz w:val="32"/>
          <w:szCs w:val="32"/>
        </w:rPr>
        <w:footnoteReference w:id="8"/>
      </w:r>
      <w:r>
        <w:rPr>
          <w:rFonts w:hint="eastAsia" w:ascii="宋体" w:hAnsi="宋体" w:cs="宋体"/>
          <w:sz w:val="24"/>
          <w:szCs w:val="24"/>
          <w:lang w:val="en-US" w:eastAsia="zh-CN"/>
        </w:rPr>
        <w:t>928</w:t>
      </w:r>
      <w:r>
        <w:rPr>
          <w:rFonts w:hint="eastAsia"/>
          <w:lang w:val="en-US" w:eastAsia="zh-CN"/>
        </w:rPr>
        <w:t>人。学校毕业生就业地区流向具有“立足安徽，面向长三角，辐射全国”的特征。</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就业所在地按区域统计</w:t>
      </w:r>
      <w:r>
        <w:rPr>
          <w:rStyle w:val="24"/>
          <w:rFonts w:hint="eastAsia" w:ascii="宋体" w:hAnsi="宋体" w:cs="宋体"/>
          <w:b/>
          <w:bCs/>
          <w:szCs w:val="28"/>
          <w:lang w:val="en-US" w:eastAsia="zh-CN"/>
        </w:rPr>
        <w:footnoteReference w:id="9"/>
      </w:r>
    </w:p>
    <w:p>
      <w:pPr>
        <w:pStyle w:val="6"/>
        <w:spacing w:before="5"/>
        <w:ind w:left="0" w:leftChars="0" w:firstLine="420" w:firstLineChars="0"/>
        <w:jc w:val="left"/>
        <w:rPr>
          <w:rFonts w:hint="eastAsia"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2023届毕业生</w:t>
      </w:r>
      <w:r>
        <w:rPr>
          <w:rFonts w:hint="eastAsia" w:ascii="Times New Roman" w:hAnsi="Times New Roman" w:eastAsia="宋体" w:cs="Times New Roman"/>
          <w:kern w:val="2"/>
          <w:sz w:val="24"/>
          <w:szCs w:val="22"/>
          <w:lang w:val="en-US" w:eastAsia="zh-CN" w:bidi="ar-SA"/>
        </w:rPr>
        <w:t>就业所在地按区域统计分布如</w:t>
      </w:r>
      <w:r>
        <w:rPr>
          <w:rFonts w:hint="eastAsia" w:cs="Times New Roman"/>
          <w:b w:val="0"/>
          <w:bCs w:val="0"/>
          <w:kern w:val="2"/>
          <w:sz w:val="24"/>
          <w:szCs w:val="22"/>
          <w:lang w:val="en-US" w:eastAsia="zh-CN" w:bidi="ar-SA"/>
        </w:rPr>
        <w:t>下图所示</w:t>
      </w:r>
      <w:r>
        <w:rPr>
          <w:rFonts w:hint="eastAsia" w:ascii="Times New Roman" w:hAnsi="Times New Roman" w:eastAsia="宋体" w:cs="Times New Roman"/>
          <w:kern w:val="2"/>
          <w:sz w:val="24"/>
          <w:szCs w:val="22"/>
          <w:lang w:val="en-US" w:eastAsia="zh-CN" w:bidi="ar-SA"/>
        </w:rPr>
        <w:t>，流向区域最多的是</w:t>
      </w:r>
      <w:r>
        <w:rPr>
          <w:rFonts w:hint="eastAsia" w:ascii="宋体" w:hAnsi="宋体" w:cs="宋体"/>
          <w:sz w:val="24"/>
          <w:szCs w:val="24"/>
          <w:lang w:val="en-US" w:eastAsia="zh-CN"/>
        </w:rPr>
        <w:t>华东地区</w:t>
      </w:r>
      <w:r>
        <w:rPr>
          <w:rFonts w:hint="eastAsia" w:ascii="Times New Roman" w:hAnsi="Times New Roman" w:eastAsia="宋体" w:cs="Times New Roman"/>
          <w:b w:val="0"/>
          <w:bCs w:val="0"/>
          <w:kern w:val="2"/>
          <w:sz w:val="24"/>
          <w:szCs w:val="22"/>
          <w:lang w:val="en-US" w:eastAsia="zh-CN" w:bidi="ar-SA"/>
        </w:rPr>
        <w:t>896人</w:t>
      </w:r>
      <w:r>
        <w:rPr>
          <w:rFonts w:hint="eastAsia" w:cs="Times New Roman"/>
          <w:kern w:val="2"/>
          <w:sz w:val="24"/>
          <w:szCs w:val="22"/>
          <w:lang w:val="en-US" w:eastAsia="zh-CN" w:bidi="ar-SA"/>
        </w:rPr>
        <w:t>占比</w:t>
      </w:r>
      <w:r>
        <w:rPr>
          <w:rFonts w:hint="eastAsia" w:ascii="宋体" w:hAnsi="宋体" w:cs="宋体"/>
          <w:sz w:val="24"/>
          <w:szCs w:val="24"/>
          <w:lang w:val="en-US" w:eastAsia="zh-CN"/>
        </w:rPr>
        <w:t>96.55%</w:t>
      </w:r>
      <w:r>
        <w:rPr>
          <w:rFonts w:hint="eastAsia" w:ascii="Times New Roman" w:hAnsi="Times New Roman" w:eastAsia="宋体" w:cs="Times New Roman"/>
          <w:kern w:val="2"/>
          <w:sz w:val="24"/>
          <w:szCs w:val="22"/>
          <w:lang w:val="en-US" w:eastAsia="zh-CN" w:bidi="ar-SA"/>
        </w:rPr>
        <w:t>，</w:t>
      </w:r>
      <w:r>
        <w:rPr>
          <w:rFonts w:hint="eastAsia" w:ascii="Times New Roman" w:hAnsi="Times New Roman" w:eastAsia="宋体" w:cs="Times New Roman"/>
          <w:b w:val="0"/>
          <w:bCs w:val="0"/>
          <w:kern w:val="2"/>
          <w:sz w:val="24"/>
          <w:szCs w:val="22"/>
          <w:lang w:val="en-US" w:eastAsia="zh-CN" w:bidi="ar-SA"/>
        </w:rPr>
        <w:t>其次是华南地区14人占比1.51%，然后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华北地区7人占比0.75%</w:t>
      </w:r>
      <w:r>
        <w:rPr>
          <w:rFonts w:hint="eastAsia"/>
          <w:lang w:val="en-US" w:eastAsia="zh-CN"/>
        </w:rPr>
        <w:t>。</w:t>
      </w:r>
    </w:p>
    <w:p>
      <w:pPr>
        <w:pStyle w:val="6"/>
        <w:spacing w:before="5"/>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5" name="图表 5" descr="7b0a202020202263686172745265734964223a20223230343733303535220a7d0a" title="${chart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hint="eastAsia" w:ascii="宋体" w:hAnsi="宋体" w:cs="宋体"/>
          <w:lang w:val="en-US" w:eastAsia="zh-CN"/>
        </w:rPr>
        <w:t xml:space="preserve">             </w:t>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：2023届毕业生</w:t>
      </w:r>
      <w:r>
        <w:rPr>
          <w:rFonts w:hint="eastAsia" w:ascii="宋体" w:hAnsi="宋体" w:eastAsia="宋体" w:cs="宋体"/>
          <w:kern w:val="2"/>
          <w:sz w:val="21"/>
          <w:szCs w:val="21"/>
          <w:lang w:val="en-US" w:eastAsia="zh-CN" w:bidi="ar-SA"/>
        </w:rPr>
        <w:t>就业地区比例分布</w:t>
      </w:r>
    </w:p>
    <w:p>
      <w:pPr>
        <w:pStyle w:val="4"/>
        <w:numPr>
          <w:ilvl w:val="0"/>
          <w:numId w:val="5"/>
        </w:numPr>
        <w:bidi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就业所在地按省份统计</w:t>
      </w:r>
    </w:p>
    <w:p>
      <w:pPr>
        <w:bidi w:val="0"/>
        <w:rPr>
          <w:rFonts w:hint="eastAsia"/>
          <w:lang w:val="en-US" w:eastAsia="zh-CN"/>
        </w:rPr>
      </w:pPr>
      <w:r>
        <w:rPr>
          <w:rFonts w:hint="eastAsia"/>
          <w:lang w:val="en-US" w:eastAsia="zh-CN"/>
        </w:rPr>
        <w:t>2023届毕业生就业所在地按省份统计分布如</w:t>
      </w:r>
      <w:r>
        <w:rPr>
          <w:rFonts w:hint="eastAsia" w:cs="Times New Roman"/>
          <w:b w:val="0"/>
          <w:bCs w:val="0"/>
          <w:kern w:val="2"/>
          <w:sz w:val="24"/>
          <w:szCs w:val="22"/>
          <w:lang w:val="en-US" w:eastAsia="zh-CN" w:bidi="ar-SA"/>
        </w:rPr>
        <w:t>下图所示</w:t>
      </w:r>
      <w:r>
        <w:rPr>
          <w:rFonts w:hint="eastAsia"/>
          <w:lang w:val="en-US" w:eastAsia="zh-CN"/>
        </w:rPr>
        <w:t>，毕业生就业省份前三的是：</w:t>
      </w:r>
      <w:r>
        <w:rPr>
          <w:rFonts w:hint="eastAsia" w:ascii="Times New Roman" w:hAnsi="Times New Roman" w:eastAsia="宋体" w:cs="Times New Roman"/>
          <w:b w:val="0"/>
          <w:bCs w:val="0"/>
          <w:kern w:val="2"/>
          <w:sz w:val="24"/>
          <w:szCs w:val="22"/>
          <w:lang w:val="en-US" w:eastAsia="zh-CN" w:bidi="ar-SA"/>
        </w:rPr>
        <w:t>安徽省782人占比84.27%，其次是江苏省43人占比4.63%，然后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浙江省34人占比3.66%</w:t>
      </w:r>
      <w:r>
        <w:rPr>
          <w:rFonts w:hint="eastAsia"/>
          <w:lang w:val="en-US" w:eastAsia="zh-CN"/>
        </w:rPr>
        <w:t>。</w:t>
      </w:r>
    </w:p>
    <w:p>
      <w:pPr>
        <w:pStyle w:val="6"/>
        <w:spacing w:before="5"/>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51" name="图表 51" descr="7b0a202020202263686172745265734964223a20223230343733303535220a7d0a" title="${chart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：2023届毕业生</w:t>
      </w:r>
      <w:r>
        <w:rPr>
          <w:rFonts w:hint="eastAsia" w:ascii="宋体" w:hAnsi="宋体" w:eastAsia="宋体" w:cs="宋体"/>
          <w:b w:val="0"/>
          <w:bCs w:val="0"/>
          <w:kern w:val="2"/>
          <w:sz w:val="21"/>
          <w:szCs w:val="21"/>
          <w:lang w:val="en-US" w:eastAsia="zh-CN" w:bidi="ar-SA"/>
        </w:rPr>
        <w:t>就业地区省份人数分布</w:t>
      </w:r>
    </w:p>
    <w:p>
      <w:pPr>
        <w:pStyle w:val="4"/>
        <w:numPr>
          <w:ilvl w:val="0"/>
          <w:numId w:val="5"/>
        </w:numPr>
        <w:bidi w:val="0"/>
        <w:rPr>
          <w:rFonts w:hint="eastAsia"/>
          <w:lang w:val="en-US" w:eastAsia="zh-CN"/>
        </w:rPr>
      </w:pPr>
      <w:bookmarkStart w:id="116" w:name="_Toc12572"/>
      <w:r>
        <w:rPr>
          <w:rFonts w:hint="eastAsia" w:ascii="楷体" w:hAnsi="楷体" w:eastAsia="楷体" w:cs="楷体"/>
          <w:sz w:val="28"/>
          <w:szCs w:val="28"/>
          <w:lang w:val="en-US" w:eastAsia="zh-CN"/>
        </w:rPr>
        <w:t>就业所在地按城市类型</w:t>
      </w:r>
      <w:r>
        <w:rPr>
          <w:rStyle w:val="24"/>
          <w:rFonts w:hint="eastAsia" w:ascii="宋体" w:hAnsi="宋体" w:cs="宋体"/>
          <w:b/>
          <w:bCs/>
          <w:szCs w:val="28"/>
          <w:lang w:val="en-US" w:eastAsia="zh-CN"/>
        </w:rPr>
        <w:footnoteReference w:id="10"/>
      </w:r>
      <w:r>
        <w:rPr>
          <w:rFonts w:hint="eastAsia" w:ascii="楷体" w:hAnsi="楷体" w:eastAsia="楷体" w:cs="楷体"/>
          <w:sz w:val="28"/>
          <w:szCs w:val="28"/>
          <w:lang w:val="en-US" w:eastAsia="zh-CN"/>
        </w:rPr>
        <w:t>统计</w:t>
      </w:r>
      <w:bookmarkEnd w:id="116"/>
    </w:p>
    <w:p>
      <w:pPr>
        <w:bidi w:val="0"/>
        <w:rPr>
          <w:rFonts w:hint="eastAsia" w:ascii="宋体" w:hAnsi="宋体" w:eastAsia="宋体" w:cs="宋体"/>
          <w:kern w:val="2"/>
          <w:sz w:val="21"/>
          <w:szCs w:val="21"/>
          <w:lang w:val="en-US" w:eastAsia="zh-CN" w:bidi="ar-SA"/>
        </w:rPr>
      </w:pPr>
      <w:r>
        <w:rPr>
          <w:rFonts w:hint="eastAsia"/>
          <w:lang w:val="en-US" w:eastAsia="zh-CN"/>
        </w:rPr>
        <w:t>2023届毕业生就业所在地按城市类型统计分布如</w:t>
      </w:r>
      <w:r>
        <w:rPr>
          <w:rFonts w:hint="eastAsia" w:cs="Times New Roman"/>
          <w:b w:val="0"/>
          <w:bCs w:val="0"/>
          <w:kern w:val="2"/>
          <w:sz w:val="24"/>
          <w:szCs w:val="22"/>
          <w:lang w:val="en-US" w:eastAsia="zh-CN" w:bidi="ar-SA"/>
        </w:rPr>
        <w:t>下图所示</w:t>
      </w:r>
      <w:r>
        <w:rPr>
          <w:rFonts w:hint="eastAsia"/>
          <w:lang w:val="en-US" w:eastAsia="zh-CN"/>
        </w:rPr>
        <w:t>，就业城市类型最多的是</w:t>
      </w:r>
      <w:r>
        <w:rPr>
          <w:rFonts w:hint="eastAsia" w:ascii="Times New Roman" w:hAnsi="Times New Roman" w:eastAsia="宋体" w:cs="Times New Roman"/>
          <w:b w:val="0"/>
          <w:bCs w:val="0"/>
          <w:kern w:val="2"/>
          <w:sz w:val="24"/>
          <w:szCs w:val="22"/>
          <w:lang w:val="en-US" w:eastAsia="zh-CN" w:bidi="ar-SA"/>
        </w:rPr>
        <w:t>省会城市414人占比44.61%，其次是地级市236人占比25.43%，然后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县179人占比19.29%</w:t>
      </w:r>
      <w:r>
        <w:rPr>
          <w:rFonts w:hint="eastAsia"/>
          <w:lang w:val="en-US" w:eastAsia="zh-CN"/>
        </w:rPr>
        <w:t>。</w:t>
      </w:r>
    </w:p>
    <w:p>
      <w:pPr>
        <w:pStyle w:val="6"/>
        <w:spacing w:before="5"/>
        <w:ind w:left="0" w:leftChars="0"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37" name="图表 37" descr="7b0a202020202263686172745265734964223a20223230343733303535220a7d0a" title="${chart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：2023届毕业生</w:t>
      </w:r>
      <w:r>
        <w:rPr>
          <w:rFonts w:hint="eastAsia" w:ascii="宋体" w:hAnsi="宋体" w:eastAsia="宋体" w:cs="宋体"/>
          <w:b w:val="0"/>
          <w:bCs w:val="0"/>
          <w:kern w:val="2"/>
          <w:sz w:val="21"/>
          <w:szCs w:val="21"/>
          <w:lang w:val="en-US" w:eastAsia="zh-CN" w:bidi="ar-SA"/>
        </w:rPr>
        <w:t>就业地区城市类型人数分布</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"http://ahut.ahbys.com/Console/DataView/DataView2_8_8.aspx" \h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按城市地理位置</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统计</w:t>
      </w:r>
      <w:r>
        <w:rPr>
          <w:rFonts w:hint="eastAsia"/>
          <w:lang w:val="en-US" w:eastAsia="zh-CN"/>
        </w:rPr>
        <w:tab/>
      </w:r>
    </w:p>
    <w:p>
      <w:pPr>
        <w:bidi w:val="0"/>
        <w:rPr>
          <w:rFonts w:hint="eastAsia"/>
          <w:lang w:val="en-US" w:eastAsia="zh-CN"/>
        </w:rPr>
      </w:pPr>
      <w:r>
        <w:rPr>
          <w:rFonts w:hint="eastAsia"/>
          <w:lang w:val="en-US" w:eastAsia="zh-CN"/>
        </w:rPr>
        <w:t>2023届毕业生就业所在地按地理位置统计分布如</w:t>
      </w:r>
      <w:r>
        <w:rPr>
          <w:rFonts w:hint="eastAsia" w:cs="Times New Roman"/>
          <w:b w:val="0"/>
          <w:bCs w:val="0"/>
          <w:kern w:val="2"/>
          <w:sz w:val="24"/>
          <w:szCs w:val="22"/>
          <w:lang w:val="en-US" w:eastAsia="zh-CN" w:bidi="ar-SA"/>
        </w:rPr>
        <w:t>下图所示</w:t>
      </w:r>
      <w:r>
        <w:rPr>
          <w:rFonts w:hint="eastAsia"/>
          <w:lang w:val="en-US" w:eastAsia="zh-CN"/>
        </w:rPr>
        <w:t>，就业地所在地理位置最多的是安徽省782人占比84.27%，其次是江浙沪102人占比10.99%，然后是珠三角(广东)12人占比1.29%。毕业生更倾向于服务五大发展美好安徽建设。</w:t>
      </w:r>
    </w:p>
    <w:p>
      <w:pPr>
        <w:bidi w:val="0"/>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38" name="图表 38" descr="7b0a202020202263686172745265734964223a20223230343733303535220a7d0a" title="${chart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：2023届毕业生</w:t>
      </w:r>
      <w:r>
        <w:rPr>
          <w:rFonts w:hint="eastAsia" w:ascii="宋体" w:hAnsi="宋体" w:eastAsia="宋体" w:cs="宋体"/>
          <w:b w:val="0"/>
          <w:bCs w:val="0"/>
          <w:kern w:val="2"/>
          <w:sz w:val="21"/>
          <w:szCs w:val="21"/>
          <w:lang w:val="en-US" w:eastAsia="zh-CN" w:bidi="ar-SA"/>
        </w:rPr>
        <w:t>就业地区城市地理位置分布</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"http://ahut.ahbys.com/Console/DataView/DataView2_8_8.aspx" \h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按城市规模</w:t>
      </w:r>
      <w:r>
        <w:rPr>
          <w:rFonts w:hint="eastAsia" w:ascii="楷体" w:hAnsi="楷体" w:eastAsia="楷体" w:cs="楷体"/>
          <w:sz w:val="28"/>
          <w:szCs w:val="28"/>
          <w:lang w:val="en-US" w:eastAsia="zh-CN"/>
        </w:rPr>
        <w:fldChar w:fldCharType="end"/>
      </w:r>
      <w:r>
        <w:rPr>
          <w:rStyle w:val="24"/>
          <w:rFonts w:hint="eastAsia"/>
          <w:lang w:val="en-US" w:eastAsia="zh-CN"/>
        </w:rPr>
        <w:footnoteReference w:id="11"/>
      </w:r>
      <w:r>
        <w:rPr>
          <w:rFonts w:hint="eastAsia" w:ascii="楷体" w:hAnsi="楷体" w:eastAsia="楷体" w:cs="楷体"/>
          <w:sz w:val="28"/>
          <w:szCs w:val="28"/>
          <w:lang w:val="en-US" w:eastAsia="zh-CN"/>
        </w:rPr>
        <w:t>统计</w:t>
      </w:r>
      <w:r>
        <w:rPr>
          <w:rFonts w:hint="eastAsia" w:ascii="楷体" w:hAnsi="楷体" w:eastAsia="楷体" w:cs="楷体"/>
          <w:sz w:val="28"/>
          <w:szCs w:val="28"/>
          <w:lang w:val="en-US" w:eastAsia="zh-CN"/>
        </w:rPr>
        <w:tab/>
      </w:r>
    </w:p>
    <w:p>
      <w:pPr>
        <w:bidi w:val="0"/>
        <w:rPr>
          <w:rFonts w:hint="eastAsia"/>
          <w:highlight w:val="none"/>
          <w:lang w:val="en-US" w:eastAsia="zh-CN"/>
        </w:rPr>
      </w:pPr>
      <w:r>
        <w:rPr>
          <w:rFonts w:hint="eastAsia"/>
          <w:highlight w:val="none"/>
          <w:lang w:val="en-US" w:eastAsia="zh-CN"/>
        </w:rPr>
        <w:t>2023届毕业生实际就业所在地按城市规模统计分布如</w:t>
      </w:r>
      <w:r>
        <w:rPr>
          <w:rFonts w:hint="eastAsia" w:cs="Times New Roman"/>
          <w:b w:val="0"/>
          <w:bCs w:val="0"/>
          <w:kern w:val="2"/>
          <w:sz w:val="24"/>
          <w:szCs w:val="22"/>
          <w:lang w:val="en-US" w:eastAsia="zh-CN" w:bidi="ar-SA"/>
        </w:rPr>
        <w:t>下图所示</w:t>
      </w:r>
      <w:r>
        <w:rPr>
          <w:rFonts w:hint="eastAsia"/>
          <w:highlight w:val="none"/>
          <w:lang w:val="en-US" w:eastAsia="zh-CN"/>
        </w:rPr>
        <w:t>。就业地所在城市规模最多的是</w:t>
      </w:r>
      <w:r>
        <w:rPr>
          <w:rFonts w:hint="eastAsia" w:ascii="Times New Roman" w:hAnsi="Times New Roman" w:eastAsia="宋体" w:cs="Times New Roman"/>
          <w:b w:val="0"/>
          <w:bCs w:val="0"/>
          <w:kern w:val="2"/>
          <w:sz w:val="24"/>
          <w:szCs w:val="22"/>
          <w:highlight w:val="none"/>
          <w:lang w:val="en-US" w:eastAsia="zh-CN" w:bidi="ar-SA"/>
        </w:rPr>
        <w:t>新一线城市478人占比51.51%，其次是三线城市243人占比26.19%，然后</w:t>
      </w:r>
      <w:r>
        <w:rPr>
          <w:rFonts w:hint="eastAsia"/>
          <w:highlight w:val="none"/>
          <w:lang w:val="en-US" w:eastAsia="zh-CN"/>
        </w:rPr>
        <w:t>是</w:t>
      </w:r>
      <w:r>
        <w:rPr>
          <w:rFonts w:hint="eastAsia" w:ascii="Times New Roman" w:hAnsi="Times New Roman" w:eastAsia="宋体" w:cs="Times New Roman"/>
          <w:b w:val="0"/>
          <w:bCs w:val="0"/>
          <w:kern w:val="2"/>
          <w:sz w:val="24"/>
          <w:szCs w:val="22"/>
          <w:highlight w:val="none"/>
          <w:lang w:val="en-US" w:eastAsia="zh-CN" w:bidi="ar-SA"/>
        </w:rPr>
        <w:t>四线城市134人占比14.44%</w:t>
      </w:r>
      <w:r>
        <w:rPr>
          <w:rFonts w:hint="eastAsia"/>
          <w:highlight w:val="none"/>
          <w:lang w:val="en-US" w:eastAsia="zh-CN"/>
        </w:rPr>
        <w:t>。</w:t>
      </w:r>
    </w:p>
    <w:p>
      <w:pPr>
        <w:pStyle w:val="6"/>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50" name="图表 50" descr="7b0a202020202263686172745265734964223a20223230343733303535220a7d0a" title="${chart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：2023届毕业生</w:t>
      </w:r>
      <w:r>
        <w:rPr>
          <w:rFonts w:hint="eastAsia" w:ascii="宋体" w:hAnsi="宋体" w:eastAsia="宋体" w:cs="宋体"/>
          <w:b w:val="0"/>
          <w:bCs w:val="0"/>
          <w:kern w:val="2"/>
          <w:sz w:val="21"/>
          <w:szCs w:val="21"/>
          <w:lang w:val="en-US" w:eastAsia="zh-CN" w:bidi="ar-SA"/>
        </w:rPr>
        <w:t>就业地区城市规模人数分布</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"http://ahut.ahbys.com/Console/DataView/DataView2_8_8.aspx" \h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按城市</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统计</w:t>
      </w:r>
      <w:r>
        <w:rPr>
          <w:rFonts w:hint="eastAsia" w:ascii="楷体" w:hAnsi="楷体" w:eastAsia="楷体" w:cs="楷体"/>
          <w:sz w:val="28"/>
          <w:szCs w:val="28"/>
          <w:lang w:val="en-US" w:eastAsia="zh-CN"/>
        </w:rPr>
        <w:tab/>
      </w:r>
    </w:p>
    <w:p>
      <w:pPr>
        <w:bidi w:val="0"/>
        <w:jc w:val="left"/>
        <w:rPr>
          <w:rFonts w:hint="eastAsia"/>
          <w:lang w:val="en-US" w:eastAsia="zh-CN"/>
        </w:rPr>
      </w:pPr>
      <w:r>
        <w:rPr>
          <w:rFonts w:hint="eastAsia"/>
          <w:lang w:val="en-US" w:eastAsia="zh-CN"/>
        </w:rPr>
        <w:t>2023届毕业生实际</w:t>
      </w:r>
      <w:r>
        <w:rPr>
          <w:rFonts w:hint="eastAsia" w:ascii="宋体" w:hAnsi="宋体" w:cs="宋体"/>
          <w:sz w:val="24"/>
          <w:szCs w:val="24"/>
          <w:lang w:val="en-US" w:eastAsia="zh-CN"/>
        </w:rPr>
        <w:t>就业人数928人，分布在全国22个省份64个城市，其中782人工作在安徽的16个城市的95个区市县。就业地所在城市人数最高的是安徽省合肥市424人占比45.69%，然后是安徽省阜阳市76人和安徽省亳州市40</w:t>
      </w:r>
      <w:r>
        <w:rPr>
          <w:rFonts w:hint="eastAsia"/>
          <w:lang w:val="en-US" w:eastAsia="zh-CN"/>
        </w:rPr>
        <w:t>人，分别占比</w:t>
      </w:r>
      <w:r>
        <w:rPr>
          <w:rFonts w:hint="eastAsia" w:ascii="宋体" w:hAnsi="宋体" w:cs="宋体"/>
          <w:sz w:val="24"/>
          <w:szCs w:val="24"/>
          <w:lang w:val="en-US" w:eastAsia="zh-CN"/>
        </w:rPr>
        <w:t>8.19%和4.31%</w:t>
      </w:r>
      <w:r>
        <w:rPr>
          <w:rFonts w:hint="eastAsia"/>
          <w:lang w:val="en-US" w:eastAsia="zh-CN"/>
        </w:rPr>
        <w:t>，详见表：</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lang w:val="en-US" w:eastAsia="zh-CN"/>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：2023届毕业生就业城市分布表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1"/>
        <w:gridCol w:w="1952"/>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37"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城市名称</w:t>
            </w:r>
          </w:p>
        </w:tc>
        <w:tc>
          <w:tcPr>
            <w:tcW w:w="1133"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29" w:type="pct"/>
            <w:shd w:val="clear" w:color="auto" w:fill="548DD4"/>
            <w:noWrap w:val="0"/>
            <w:tcMar>
              <w:top w:w="8" w:type="dxa"/>
              <w:left w:w="8" w:type="dxa"/>
              <w:right w:w="8" w:type="dxa"/>
            </w:tcMar>
            <w:vAlign w:val="center"/>
          </w:tcPr>
          <w:p>
            <w:pPr>
              <w:pStyle w:val="38"/>
              <w:bidi w:val="0"/>
              <w:rPr>
                <w:rFonts w:hint="default"/>
                <w:b/>
                <w:bCs/>
                <w:color w:val="FFFFFF"/>
                <w:lang w:val="en-US"/>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安徽省合肥市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424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安徽省阜阳市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76</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安徽省亳州市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40</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安徽省安庆市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35</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安徽省六安市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安徽省芜湖市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安徽省黄山市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26</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上海市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25</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安徽省蚌埠市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江苏省南京市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安徽省滁州市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安徽省宿州市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安徽省宣城市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安徽省淮南市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浙江省杭州市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浙江省金华市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安徽省铜陵市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安徽省池州市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安徽省淮北市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江苏省苏州市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江苏省无锡市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0.54%</w:t>
            </w:r>
          </w:p>
        </w:tc>
      </w:tr>
      <w:tr>
        <w:tblPrEx>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江苏省常州市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安徽省马鞍山市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广东省东莞市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江苏省淮安市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江苏省镇江市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广东省深圳市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北京市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0.22%</w:t>
            </w:r>
          </w:p>
        </w:tc>
      </w:tr>
      <w:tr>
        <w:tblPrEx>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天津市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河北省廊坊市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其它合计</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4.53%</w:t>
            </w:r>
          </w:p>
        </w:tc>
      </w:tr>
    </w:tbl>
    <w:p>
      <w:pPr>
        <w:bidi w:val="0"/>
        <w:jc w:val="left"/>
        <w:rPr>
          <w:rFonts w:hint="default"/>
          <w:lang w:val="en-US" w:eastAsia="zh-CN"/>
        </w:rPr>
      </w:pP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17" w:name="（二）回原籍就业情况分析"/>
      <w:bookmarkEnd w:id="117"/>
      <w:bookmarkStart w:id="118" w:name="_bookmark27"/>
      <w:bookmarkEnd w:id="118"/>
      <w:bookmarkStart w:id="119" w:name="_Toc15894"/>
      <w:bookmarkStart w:id="120" w:name="_Toc17173"/>
      <w:r>
        <w:rPr>
          <w:rFonts w:hint="eastAsia" w:ascii="宋体" w:hAnsi="宋体" w:cs="宋体"/>
          <w:b/>
          <w:bCs/>
          <w:sz w:val="28"/>
          <w:szCs w:val="28"/>
          <w:lang w:val="en-US" w:eastAsia="zh-CN"/>
        </w:rPr>
        <w:t>毕业生</w:t>
      </w:r>
      <w:r>
        <w:rPr>
          <w:rFonts w:hint="eastAsia"/>
          <w:lang w:val="en-US" w:eastAsia="zh-CN"/>
        </w:rPr>
        <w:t>留皖就业情况</w:t>
      </w:r>
      <w:bookmarkEnd w:id="119"/>
      <w:bookmarkEnd w:id="120"/>
    </w:p>
    <w:p>
      <w:pPr>
        <w:bidi w:val="0"/>
        <w:jc w:val="left"/>
        <w:rPr>
          <w:rFonts w:hint="default"/>
          <w:lang w:val="en-US" w:eastAsia="zh-CN"/>
        </w:rPr>
      </w:pPr>
      <w:r>
        <w:rPr>
          <w:rFonts w:hint="eastAsia"/>
          <w:lang w:val="en-US" w:eastAsia="zh-CN"/>
        </w:rPr>
        <w:t>2023届毕业生在</w:t>
      </w:r>
      <w:r>
        <w:rPr>
          <w:rFonts w:hint="eastAsia" w:ascii="宋体" w:hAnsi="宋体" w:cs="宋体"/>
          <w:sz w:val="24"/>
          <w:szCs w:val="24"/>
          <w:lang w:val="en-US" w:eastAsia="zh-CN"/>
        </w:rPr>
        <w:t>安徽省内实际就业人数782</w:t>
      </w:r>
      <w:r>
        <w:rPr>
          <w:rFonts w:hint="eastAsia"/>
          <w:lang w:val="en-US" w:eastAsia="zh-CN"/>
        </w:rPr>
        <w:t>人，占实际就业毕业生的</w:t>
      </w:r>
      <w:r>
        <w:rPr>
          <w:rFonts w:hint="eastAsia" w:ascii="宋体" w:hAnsi="宋体" w:cs="宋体"/>
          <w:sz w:val="24"/>
          <w:szCs w:val="24"/>
          <w:lang w:val="en-US" w:eastAsia="zh-CN"/>
        </w:rPr>
        <w:t>84.27%</w:t>
      </w:r>
      <w:r>
        <w:rPr>
          <w:rFonts w:hint="eastAsia"/>
          <w:lang w:val="en-US" w:eastAsia="zh-CN"/>
        </w:rPr>
        <w:t>，其中在省内就业人数最高的城市是</w:t>
      </w:r>
      <w:r>
        <w:rPr>
          <w:rFonts w:hint="eastAsia" w:ascii="宋体" w:hAnsi="宋体" w:cs="宋体"/>
          <w:sz w:val="24"/>
          <w:szCs w:val="24"/>
          <w:lang w:val="en-US" w:eastAsia="zh-CN"/>
        </w:rPr>
        <w:t>安徽省合肥市424</w:t>
      </w:r>
      <w:r>
        <w:rPr>
          <w:rFonts w:hint="eastAsia"/>
          <w:lang w:val="en-US" w:eastAsia="zh-CN"/>
        </w:rPr>
        <w:t>人占比</w:t>
      </w:r>
      <w:r>
        <w:rPr>
          <w:rFonts w:hint="eastAsia" w:ascii="宋体" w:hAnsi="宋体" w:cs="宋体"/>
          <w:sz w:val="24"/>
          <w:szCs w:val="24"/>
          <w:lang w:val="en-US" w:eastAsia="zh-CN"/>
        </w:rPr>
        <w:t>54.22%</w:t>
      </w:r>
      <w:r>
        <w:rPr>
          <w:rFonts w:hint="eastAsia"/>
          <w:lang w:val="en-US" w:eastAsia="zh-CN"/>
        </w:rPr>
        <w:t>，然后是</w:t>
      </w:r>
      <w:r>
        <w:rPr>
          <w:rFonts w:hint="eastAsia" w:ascii="宋体" w:hAnsi="宋体" w:cs="宋体"/>
          <w:sz w:val="24"/>
          <w:szCs w:val="24"/>
          <w:lang w:val="en-US" w:eastAsia="zh-CN"/>
        </w:rPr>
        <w:t>安徽省阜阳市76</w:t>
      </w:r>
      <w:r>
        <w:rPr>
          <w:rFonts w:hint="eastAsia"/>
          <w:lang w:val="en-US" w:eastAsia="zh-CN"/>
        </w:rPr>
        <w:t>人和</w:t>
      </w:r>
      <w:r>
        <w:rPr>
          <w:rFonts w:hint="eastAsia" w:ascii="宋体" w:hAnsi="宋体" w:cs="宋体"/>
          <w:sz w:val="24"/>
          <w:szCs w:val="24"/>
          <w:lang w:val="en-US" w:eastAsia="zh-CN"/>
        </w:rPr>
        <w:t>安徽省亳州市40</w:t>
      </w:r>
      <w:r>
        <w:rPr>
          <w:rFonts w:hint="eastAsia"/>
          <w:lang w:val="en-US" w:eastAsia="zh-CN"/>
        </w:rPr>
        <w:t>人，分别占比</w:t>
      </w:r>
      <w:r>
        <w:rPr>
          <w:rFonts w:hint="eastAsia" w:ascii="宋体" w:hAnsi="宋体" w:cs="宋体"/>
          <w:sz w:val="24"/>
          <w:szCs w:val="24"/>
          <w:lang w:val="en-US" w:eastAsia="zh-CN"/>
        </w:rPr>
        <w:t>9.72%和5.12%</w:t>
      </w:r>
      <w:r>
        <w:rPr>
          <w:rFonts w:hint="eastAsia"/>
          <w:lang w:val="en-US" w:eastAsia="zh-CN"/>
        </w:rPr>
        <w:t>，如</w:t>
      </w:r>
      <w:r>
        <w:rPr>
          <w:rFonts w:hint="eastAsia" w:cs="Times New Roman"/>
          <w:b w:val="0"/>
          <w:bCs w:val="0"/>
          <w:kern w:val="2"/>
          <w:sz w:val="24"/>
          <w:szCs w:val="22"/>
          <w:lang w:val="en-US" w:eastAsia="zh-CN" w:bidi="ar-SA"/>
        </w:rPr>
        <w:t>下图所示：</w:t>
      </w:r>
    </w:p>
    <w:p>
      <w:pPr>
        <w:bidi w:val="0"/>
        <w:ind w:left="0" w:leftChars="0" w:firstLine="0" w:firstLineChars="0"/>
        <w:jc w:val="center"/>
        <w:rPr>
          <w:rFonts w:hint="eastAsia"/>
          <w:lang w:val="en-US" w:eastAsia="zh-CN"/>
        </w:rPr>
      </w:pPr>
      <w:r>
        <w:rPr>
          <w:rFonts w:hint="eastAsia" w:ascii="宋体" w:hAnsi="宋体" w:eastAsia="宋体" w:cs="宋体"/>
          <w:b/>
          <w:bCs/>
          <w:sz w:val="32"/>
          <w:szCs w:val="32"/>
          <w:lang w:eastAsia="zh-CN"/>
        </w:rPr>
        <w:drawing>
          <wp:inline distT="0" distB="0" distL="114300" distR="114300">
            <wp:extent cx="5478780" cy="2668270"/>
            <wp:effectExtent l="0" t="0" r="5080" b="8890"/>
            <wp:docPr id="15" name="图表 15" descr="7b0a202020202263686172745265734964223a20223230343733303535220a7d0a" title="${chart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：2023届毕业生留皖就业城市</w:t>
      </w:r>
      <w:r>
        <w:rPr>
          <w:rFonts w:hint="eastAsia" w:ascii="宋体" w:hAnsi="宋体" w:eastAsia="宋体" w:cs="宋体"/>
          <w:b w:val="0"/>
          <w:bCs w:val="0"/>
          <w:kern w:val="2"/>
          <w:sz w:val="21"/>
          <w:szCs w:val="21"/>
          <w:lang w:val="en-US" w:eastAsia="zh-CN" w:bidi="ar-SA"/>
        </w:rPr>
        <w:t>分布</w:t>
      </w:r>
    </w:p>
    <w:p>
      <w:pPr>
        <w:bidi w:val="0"/>
        <w:jc w:val="left"/>
        <w:rPr>
          <w:rFonts w:hint="eastAsia"/>
          <w:lang w:val="en-US" w:eastAsia="zh-CN"/>
        </w:rPr>
      </w:pPr>
      <w:r>
        <w:rPr>
          <w:rFonts w:hint="eastAsia"/>
          <w:lang w:val="en-US" w:eastAsia="zh-CN"/>
        </w:rPr>
        <w:t>从毕业生所在院系来看，在省内就业占比最高的院系是戏曲学院33人占比91.67%，然后是音乐学院149人和新闻传媒学院36人，分别占比89.76%和87.80%，如</w:t>
      </w:r>
      <w:r>
        <w:rPr>
          <w:rFonts w:hint="eastAsia" w:cs="Times New Roman"/>
          <w:b w:val="0"/>
          <w:bCs w:val="0"/>
          <w:kern w:val="2"/>
          <w:sz w:val="24"/>
          <w:szCs w:val="22"/>
          <w:lang w:val="en-US" w:eastAsia="zh-CN" w:bidi="ar-SA"/>
        </w:rPr>
        <w:t>下表所示：</w:t>
      </w:r>
    </w:p>
    <w:p>
      <w:pPr>
        <w:pStyle w:val="38"/>
        <w:bidi w:val="0"/>
        <w:rPr>
          <w:rFonts w:hint="default"/>
          <w:lang w:val="en-US" w:eastAsia="zh-CN"/>
        </w:rPr>
      </w:pPr>
      <w:r>
        <w:rPr>
          <w:rFonts w:hint="eastAsia"/>
          <w:lang w:val="en-US" w:eastAsia="zh-CN"/>
        </w:rPr>
        <w:t>表：2023届毕业生留皖就业院系分布表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004"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98"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实际就业人数</w:t>
            </w:r>
          </w:p>
        </w:tc>
        <w:tc>
          <w:tcPr>
            <w:tcW w:w="99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留皖数</w:t>
            </w:r>
          </w:p>
        </w:tc>
        <w:tc>
          <w:tcPr>
            <w:tcW w:w="998" w:type="pct"/>
            <w:shd w:val="clear" w:color="auto" w:fill="548DD4"/>
            <w:noWrap w:val="0"/>
            <w:tcMar>
              <w:top w:w="8" w:type="dxa"/>
              <w:left w:w="8" w:type="dxa"/>
              <w:right w:w="8" w:type="dxa"/>
            </w:tcMar>
            <w:vAlign w:val="center"/>
          </w:tcPr>
          <w:p>
            <w:pPr>
              <w:pStyle w:val="38"/>
              <w:bidi w:val="0"/>
              <w:jc w:val="center"/>
              <w:rPr>
                <w:rFonts w:hint="default" w:eastAsia="宋体"/>
                <w:b/>
                <w:bCs/>
                <w:color w:val="FFFFFF"/>
                <w:lang w:val="en-US" w:eastAsia="zh-CN"/>
              </w:rPr>
            </w:pPr>
            <w:r>
              <w:rPr>
                <w:rFonts w:hint="eastAsia"/>
                <w:b/>
                <w:bCs/>
                <w:color w:val="FFFFFF"/>
                <w:lang w:val="en-US" w:eastAsia="zh-CN"/>
              </w:rPr>
              <w:t>留皖率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新闻传媒学院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158</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250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综合艺术学院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65</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75.58%</w:t>
            </w:r>
          </w:p>
        </w:tc>
      </w:tr>
    </w:tbl>
    <w:p>
      <w:pPr>
        <w:bidi w:val="0"/>
        <w:ind w:left="0" w:leftChars="0" w:firstLine="0" w:firstLineChars="0"/>
        <w:jc w:val="center"/>
        <w:rPr>
          <w:rFonts w:hint="eastAsia" w:ascii="宋体" w:hAnsi="宋体" w:eastAsia="宋体" w:cs="宋体"/>
          <w:b w:val="0"/>
          <w:bCs w:val="0"/>
          <w:kern w:val="2"/>
          <w:sz w:val="21"/>
          <w:szCs w:val="21"/>
          <w:lang w:val="en-US" w:eastAsia="zh-CN" w:bidi="ar-SA"/>
        </w:rPr>
      </w:pPr>
    </w:p>
    <w:p>
      <w:pPr>
        <w:bidi w:val="0"/>
        <w:jc w:val="left"/>
        <w:rPr>
          <w:rFonts w:hint="eastAsia"/>
          <w:lang w:val="en-US" w:eastAsia="zh-CN"/>
        </w:rPr>
      </w:pPr>
      <w:r>
        <w:rPr>
          <w:rFonts w:hint="eastAsia"/>
          <w:lang w:val="en-US" w:eastAsia="zh-CN"/>
        </w:rPr>
        <w:t>从毕业生就读专业来看，在省内就业占比最高的专业是服装与服饰设计15人占比100.00%，然后是美术教育1人和广告设计与制作10人，分别占比100.00%和90.91%，如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：2023届毕业生留皖就业专业分布表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453" w:type="dxa"/>
            <w:shd w:val="clear" w:color="auto" w:fill="548DD4"/>
            <w:noWrap w:val="0"/>
            <w:tcMar>
              <w:top w:w="8" w:type="dxa"/>
              <w:left w:w="8" w:type="dxa"/>
              <w:right w:w="8" w:type="dxa"/>
            </w:tcMar>
            <w:vAlign w:val="center"/>
          </w:tcPr>
          <w:p>
            <w:pPr>
              <w:pStyle w:val="38"/>
              <w:bidi w:val="0"/>
              <w:ind w:firstLine="0" w:firstLineChars="0"/>
              <w:rPr>
                <w:rFonts w:hint="default" w:eastAsia="宋体"/>
                <w:b/>
                <w:bCs/>
                <w:color w:val="FFFFFF"/>
                <w:lang w:val="en-US" w:eastAsia="zh-CN"/>
              </w:rPr>
            </w:pPr>
            <w:r>
              <w:rPr>
                <w:rFonts w:hint="eastAsia"/>
                <w:b/>
                <w:bCs/>
                <w:color w:val="FFFFFF"/>
                <w:lang w:val="en-US" w:eastAsia="zh-CN"/>
              </w:rPr>
              <w:t>专业名称</w:t>
            </w:r>
          </w:p>
        </w:tc>
        <w:tc>
          <w:tcPr>
            <w:tcW w:w="1720" w:type="dxa"/>
            <w:shd w:val="clear" w:color="auto" w:fill="548DD4"/>
            <w:noWrap w:val="0"/>
            <w:tcMar>
              <w:top w:w="8" w:type="dxa"/>
              <w:left w:w="8" w:type="dxa"/>
              <w:right w:w="8" w:type="dxa"/>
            </w:tcMar>
            <w:vAlign w:val="center"/>
          </w:tcPr>
          <w:p>
            <w:pPr>
              <w:pStyle w:val="38"/>
              <w:bidi w:val="0"/>
              <w:ind w:firstLine="0" w:firstLineChars="0"/>
              <w:rPr>
                <w:rFonts w:hint="default" w:eastAsia="宋体"/>
                <w:b/>
                <w:bCs/>
                <w:color w:val="FFFFFF"/>
                <w:lang w:val="en-US" w:eastAsia="zh-CN"/>
              </w:rPr>
            </w:pPr>
            <w:r>
              <w:rPr>
                <w:rFonts w:hint="eastAsia"/>
                <w:b/>
                <w:bCs/>
                <w:color w:val="FFFFFF"/>
                <w:lang w:val="en-US" w:eastAsia="zh-CN"/>
              </w:rPr>
              <w:t>实际就业人数</w:t>
            </w:r>
          </w:p>
        </w:tc>
        <w:tc>
          <w:tcPr>
            <w:tcW w:w="1720" w:type="dxa"/>
            <w:shd w:val="clear" w:color="auto" w:fill="548DD4"/>
            <w:noWrap w:val="0"/>
            <w:tcMar>
              <w:top w:w="8" w:type="dxa"/>
              <w:left w:w="8" w:type="dxa"/>
              <w:right w:w="8" w:type="dxa"/>
            </w:tcMar>
            <w:vAlign w:val="center"/>
          </w:tcPr>
          <w:p>
            <w:pPr>
              <w:pStyle w:val="38"/>
              <w:bidi w:val="0"/>
              <w:ind w:firstLine="0" w:firstLineChars="0"/>
              <w:rPr>
                <w:rFonts w:hint="default"/>
                <w:b/>
                <w:bCs/>
                <w:color w:val="FFFFFF"/>
                <w:lang w:val="en-US" w:eastAsia="zh-CN"/>
              </w:rPr>
            </w:pPr>
            <w:r>
              <w:rPr>
                <w:rFonts w:hint="eastAsia"/>
                <w:b/>
                <w:bCs/>
                <w:color w:val="FFFFFF"/>
                <w:lang w:val="en-US" w:eastAsia="zh-CN"/>
              </w:rPr>
              <w:t>留皖数</w:t>
            </w:r>
          </w:p>
        </w:tc>
        <w:tc>
          <w:tcPr>
            <w:tcW w:w="1720" w:type="dxa"/>
            <w:shd w:val="clear" w:color="auto" w:fill="548DD4"/>
            <w:noWrap w:val="0"/>
            <w:tcMar>
              <w:top w:w="8" w:type="dxa"/>
              <w:left w:w="8" w:type="dxa"/>
              <w:right w:w="8" w:type="dxa"/>
            </w:tcMar>
            <w:vAlign w:val="center"/>
          </w:tcPr>
          <w:p>
            <w:pPr>
              <w:pStyle w:val="38"/>
              <w:bidi w:val="0"/>
              <w:ind w:firstLine="0" w:firstLineChars="0"/>
              <w:jc w:val="center"/>
              <w:rPr>
                <w:rFonts w:hint="default" w:eastAsia="宋体"/>
                <w:b/>
                <w:bCs/>
                <w:color w:val="FFFFFF"/>
                <w:lang w:val="en-US" w:eastAsia="zh-CN"/>
              </w:rPr>
            </w:pPr>
            <w:r>
              <w:rPr>
                <w:rFonts w:hint="eastAsia"/>
                <w:b/>
                <w:bCs/>
                <w:color w:val="FFFFFF"/>
                <w:lang w:val="en-US" w:eastAsia="zh-CN"/>
              </w:rPr>
              <w:t>留皖率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服装与服饰设计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广告设计与制作</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175</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158</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动漫设计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雕刻艺术设计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国际标准舞</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播音与主持</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室内艺术设计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空中乘务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人物形象设计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戏剧影视表演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摄影摄像技术</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表演艺术</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48</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数字媒体艺术设计</w:t>
            </w:r>
          </w:p>
        </w:tc>
        <w:tc>
          <w:tcPr>
            <w:tcW w:w="1720" w:type="dxa"/>
            <w:noWrap w:val="0"/>
            <w:tcMar>
              <w:top w:w="8" w:type="dxa"/>
              <w:left w:w="8" w:type="dxa"/>
              <w:right w:w="8" w:type="dxa"/>
            </w:tcMar>
            <w:vAlign w:val="center"/>
          </w:tcPr>
          <w:p>
            <w:pPr>
              <w:pStyle w:val="38"/>
              <w:bidi w:val="0"/>
              <w:ind w:firstLine="0" w:firstLineChars="0"/>
              <w:rPr>
                <w:rFonts w:hint="default"/>
                <w:lang w:val="en-US" w:eastAsia="zh-CN"/>
              </w:rPr>
            </w:pPr>
            <w:r>
              <w:rPr>
                <w:rFonts w:hint="eastAsia"/>
                <w:lang w:val="en-US" w:eastAsia="zh-CN"/>
              </w:rPr>
              <w:t>47</w:t>
            </w:r>
          </w:p>
        </w:tc>
        <w:tc>
          <w:tcPr>
            <w:tcW w:w="1720" w:type="dxa"/>
            <w:noWrap w:val="0"/>
            <w:tcMar>
              <w:top w:w="8" w:type="dxa"/>
              <w:left w:w="8" w:type="dxa"/>
              <w:right w:w="8" w:type="dxa"/>
            </w:tcMar>
            <w:vAlign w:val="center"/>
          </w:tcPr>
          <w:p>
            <w:pPr>
              <w:pStyle w:val="38"/>
              <w:bidi w:val="0"/>
              <w:ind w:firstLine="0" w:firstLineChars="0"/>
              <w:rPr>
                <w:rFonts w:hint="default"/>
                <w:lang w:val="en-US" w:eastAsia="zh-CN"/>
              </w:rPr>
            </w:pPr>
            <w:r>
              <w:rPr>
                <w:rFonts w:hint="eastAsia"/>
                <w:lang w:val="en-US" w:eastAsia="zh-CN"/>
              </w:rPr>
              <w:t>37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高速铁路客运乘务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环境艺术设计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影视编导</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25</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65.79%</w:t>
            </w:r>
          </w:p>
        </w:tc>
      </w:tr>
    </w:tbl>
    <w:p>
      <w:pPr>
        <w:bidi w:val="0"/>
        <w:jc w:val="left"/>
        <w:rPr>
          <w:rFonts w:hint="eastAsia"/>
          <w:lang w:val="en-US" w:eastAsia="zh-CN"/>
        </w:rPr>
      </w:pPr>
      <w:bookmarkStart w:id="121" w:name="_Toc27128"/>
    </w:p>
    <w:p>
      <w:pPr>
        <w:bidi w:val="0"/>
        <w:jc w:val="left"/>
        <w:rPr>
          <w:rFonts w:hint="eastAsia"/>
          <w:lang w:val="en-US" w:eastAsia="zh-CN"/>
        </w:rPr>
      </w:pPr>
      <w:r>
        <w:rPr>
          <w:rFonts w:hint="eastAsia"/>
          <w:lang w:val="en-US" w:eastAsia="zh-CN"/>
        </w:rPr>
        <w:t>从省籍来看，2023届皖籍毕业生1455人，选择在省内就业工作的有765人，皖籍留皖比例是84.53%；非皖籍毕业生29人并留在安徽就业工作的有17人，留皖比</w:t>
      </w:r>
      <w:r>
        <w:rPr>
          <w:rFonts w:hint="eastAsia" w:cs="Times New Roman"/>
          <w:lang w:val="en-US" w:eastAsia="zh-CN"/>
        </w:rPr>
        <w:t>例是</w:t>
      </w:r>
      <w:r>
        <w:rPr>
          <w:rFonts w:hint="eastAsia" w:ascii="Times New Roman" w:hAnsi="Times New Roman" w:cs="Times New Roman"/>
          <w:lang w:val="en-US" w:eastAsia="zh-CN"/>
        </w:rPr>
        <w:t>73.91%</w:t>
      </w:r>
      <w:r>
        <w:rPr>
          <w:rFonts w:hint="eastAsia"/>
          <w:lang w:val="en-US" w:eastAsia="zh-CN"/>
        </w:rPr>
        <w:t>。</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22" w:name="_Toc26712"/>
      <w:r>
        <w:rPr>
          <w:rFonts w:hint="eastAsia" w:ascii="宋体" w:hAnsi="宋体" w:cs="宋体"/>
          <w:b/>
          <w:bCs/>
          <w:sz w:val="28"/>
          <w:szCs w:val="28"/>
          <w:lang w:val="en-US" w:eastAsia="zh-CN"/>
        </w:rPr>
        <w:t>毕业生</w:t>
      </w:r>
      <w:r>
        <w:rPr>
          <w:rFonts w:hint="eastAsia"/>
          <w:lang w:val="en-US" w:eastAsia="zh-CN"/>
        </w:rPr>
        <w:t>人才回报</w:t>
      </w:r>
      <w:r>
        <w:rPr>
          <w:rStyle w:val="24"/>
          <w:rFonts w:hint="eastAsia" w:ascii="宋体" w:hAnsi="宋体" w:eastAsia="宋体" w:cs="宋体"/>
          <w:b w:val="0"/>
          <w:bCs w:val="0"/>
          <w:lang w:val="en-US" w:eastAsia="zh-CN"/>
        </w:rPr>
        <w:footnoteReference w:id="12"/>
      </w:r>
      <w:r>
        <w:rPr>
          <w:rFonts w:hint="eastAsia"/>
          <w:lang w:val="en-US" w:eastAsia="zh-CN"/>
        </w:rPr>
        <w:t>情况</w:t>
      </w:r>
      <w:bookmarkEnd w:id="121"/>
      <w:bookmarkEnd w:id="122"/>
    </w:p>
    <w:p>
      <w:pPr>
        <w:bidi w:val="0"/>
        <w:jc w:val="left"/>
        <w:rPr>
          <w:rFonts w:hint="eastAsia"/>
          <w:lang w:val="en-US" w:eastAsia="zh-CN"/>
        </w:rPr>
      </w:pPr>
      <w:r>
        <w:rPr>
          <w:rFonts w:hint="eastAsia"/>
          <w:lang w:val="en-US" w:eastAsia="zh-CN"/>
        </w:rPr>
        <w:t>2023届毕业生在</w:t>
      </w:r>
      <w:r>
        <w:rPr>
          <w:rFonts w:hint="eastAsia" w:ascii="宋体" w:hAnsi="宋体" w:cs="宋体"/>
          <w:sz w:val="24"/>
          <w:szCs w:val="24"/>
          <w:lang w:val="en-US" w:eastAsia="zh-CN"/>
        </w:rPr>
        <w:t>合肥市</w:t>
      </w:r>
      <w:r>
        <w:rPr>
          <w:rFonts w:hint="eastAsia"/>
          <w:lang w:val="en-US" w:eastAsia="zh-CN"/>
        </w:rPr>
        <w:t xml:space="preserve">实际就业人数为 </w:t>
      </w:r>
      <w:r>
        <w:rPr>
          <w:rFonts w:hint="eastAsia" w:ascii="宋体" w:hAnsi="宋体" w:cs="宋体"/>
          <w:sz w:val="24"/>
          <w:szCs w:val="24"/>
          <w:lang w:val="en-US" w:eastAsia="zh-CN"/>
        </w:rPr>
        <w:t>424</w:t>
      </w:r>
      <w:r>
        <w:rPr>
          <w:rFonts w:hint="eastAsia"/>
          <w:lang w:val="en-US" w:eastAsia="zh-CN"/>
        </w:rPr>
        <w:t>人，在</w:t>
      </w:r>
      <w:r>
        <w:rPr>
          <w:rFonts w:hint="eastAsia" w:ascii="宋体" w:hAnsi="宋体" w:cs="宋体"/>
          <w:sz w:val="24"/>
          <w:szCs w:val="24"/>
          <w:lang w:val="en-US" w:eastAsia="zh-CN"/>
        </w:rPr>
        <w:t>合肥市</w:t>
      </w:r>
      <w:r>
        <w:rPr>
          <w:rFonts w:hint="eastAsia"/>
          <w:lang w:val="en-US" w:eastAsia="zh-CN"/>
        </w:rPr>
        <w:t>就业人数最高的区县是安徽省合肥市117人占比</w:t>
      </w:r>
      <w:r>
        <w:rPr>
          <w:rFonts w:hint="eastAsia" w:ascii="宋体" w:hAnsi="宋体" w:cs="宋体"/>
          <w:sz w:val="24"/>
          <w:szCs w:val="24"/>
          <w:lang w:val="en-US" w:eastAsia="zh-CN"/>
        </w:rPr>
        <w:t>27.59%</w:t>
      </w:r>
      <w:r>
        <w:rPr>
          <w:rFonts w:hint="eastAsia"/>
          <w:lang w:val="en-US" w:eastAsia="zh-CN"/>
        </w:rPr>
        <w:t>，然后是</w:t>
      </w:r>
      <w:r>
        <w:rPr>
          <w:rFonts w:hint="eastAsia" w:ascii="宋体" w:hAnsi="宋体" w:cs="宋体"/>
          <w:sz w:val="24"/>
          <w:szCs w:val="24"/>
          <w:lang w:val="en-US" w:eastAsia="zh-CN"/>
        </w:rPr>
        <w:t>安徽省合肥市蜀山区80</w:t>
      </w:r>
      <w:r>
        <w:rPr>
          <w:rFonts w:hint="eastAsia"/>
          <w:lang w:val="en-US" w:eastAsia="zh-CN"/>
        </w:rPr>
        <w:t>人和</w:t>
      </w:r>
      <w:r>
        <w:rPr>
          <w:rFonts w:hint="eastAsia" w:ascii="宋体" w:hAnsi="宋体" w:cs="宋体"/>
          <w:sz w:val="24"/>
          <w:szCs w:val="24"/>
          <w:lang w:val="en-US" w:eastAsia="zh-CN"/>
        </w:rPr>
        <w:t>安徽省合肥市包河区54</w:t>
      </w:r>
      <w:r>
        <w:rPr>
          <w:rFonts w:hint="eastAsia"/>
          <w:lang w:val="en-US" w:eastAsia="zh-CN"/>
        </w:rPr>
        <w:t>人，分别占比</w:t>
      </w:r>
      <w:r>
        <w:rPr>
          <w:rFonts w:hint="eastAsia" w:ascii="宋体" w:hAnsi="宋体" w:cs="宋体"/>
          <w:sz w:val="24"/>
          <w:szCs w:val="24"/>
          <w:lang w:val="en-US" w:eastAsia="zh-CN"/>
        </w:rPr>
        <w:t>18.87%和12.74%</w:t>
      </w:r>
      <w:r>
        <w:rPr>
          <w:rFonts w:hint="eastAsia"/>
          <w:lang w:val="en-US" w:eastAsia="zh-CN"/>
        </w:rPr>
        <w:t>，如</w:t>
      </w:r>
      <w:r>
        <w:rPr>
          <w:rFonts w:hint="eastAsia" w:cs="Times New Roman"/>
          <w:b w:val="0"/>
          <w:bCs w:val="0"/>
          <w:kern w:val="2"/>
          <w:sz w:val="24"/>
          <w:szCs w:val="22"/>
          <w:lang w:val="en-US" w:eastAsia="zh-CN" w:bidi="ar-SA"/>
        </w:rPr>
        <w:t>下图所示：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1" name="图表 1" descr="7b0a202020202263686172745265734964223a20223230343733303535220a7d0a" title="${chart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w:t>
      </w:r>
      <w:r>
        <w:rPr>
          <w:rFonts w:hint="eastAsia" w:ascii="宋体" w:hAnsi="宋体" w:cs="宋体"/>
          <w:kern w:val="2"/>
          <w:sz w:val="21"/>
          <w:szCs w:val="21"/>
          <w:lang w:val="en-US" w:eastAsia="zh-CN" w:bidi="ar-SA"/>
        </w:rPr>
        <w:t>2023届毕业生人才回报情况就业区县分布</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p>
    <w:p>
      <w:pPr>
        <w:bidi w:val="0"/>
        <w:jc w:val="both"/>
        <w:rPr>
          <w:rFonts w:hint="eastAsia"/>
          <w:lang w:val="en-US" w:eastAsia="zh-CN"/>
        </w:rPr>
      </w:pPr>
      <w:r>
        <w:rPr>
          <w:rFonts w:hint="eastAsia"/>
          <w:lang w:val="en-US" w:eastAsia="zh-CN"/>
        </w:rPr>
        <w:t>从毕业生所在院系来看，在</w:t>
      </w:r>
      <w:r>
        <w:rPr>
          <w:rFonts w:hint="eastAsia" w:ascii="宋体" w:hAnsi="宋体" w:cs="宋体"/>
          <w:sz w:val="24"/>
          <w:szCs w:val="24"/>
          <w:lang w:val="en-US" w:eastAsia="zh-CN"/>
        </w:rPr>
        <w:t>合肥市</w:t>
      </w:r>
      <w:r>
        <w:rPr>
          <w:rFonts w:hint="eastAsia"/>
          <w:lang w:val="en-US" w:eastAsia="zh-CN"/>
        </w:rPr>
        <w:t>就业占比最高的院系是音乐学院95人占比57.23%，然后是新闻传媒学院20人和美术学院139人，分布占比48.78%和46.49%，如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：2023届毕业生人才回报情况就业院系分布表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004"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98"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实际就业人数</w:t>
            </w:r>
          </w:p>
        </w:tc>
        <w:tc>
          <w:tcPr>
            <w:tcW w:w="99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本地就业数</w:t>
            </w:r>
          </w:p>
        </w:tc>
        <w:tc>
          <w:tcPr>
            <w:tcW w:w="998" w:type="pct"/>
            <w:shd w:val="clear" w:color="auto" w:fill="548DD4"/>
            <w:noWrap w:val="0"/>
            <w:tcMar>
              <w:top w:w="8" w:type="dxa"/>
              <w:left w:w="8" w:type="dxa"/>
              <w:right w:w="8" w:type="dxa"/>
            </w:tcMar>
            <w:vAlign w:val="center"/>
          </w:tcPr>
          <w:p>
            <w:pPr>
              <w:pStyle w:val="38"/>
              <w:bidi w:val="0"/>
              <w:jc w:val="center"/>
              <w:rPr>
                <w:rFonts w:hint="default" w:eastAsia="宋体"/>
                <w:b/>
                <w:bCs/>
                <w:color w:val="FFFFFF"/>
                <w:lang w:val="en-US" w:eastAsia="zh-CN"/>
              </w:rPr>
            </w:pPr>
            <w:r>
              <w:rPr>
                <w:rFonts w:hint="eastAsia"/>
                <w:b/>
                <w:bCs/>
                <w:color w:val="FFFFFF"/>
                <w:lang w:val="en-US" w:eastAsia="zh-CN"/>
              </w:rPr>
              <w:t>本地就业率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95</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新闻传媒学院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综合艺术学院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158</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64</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19.44%</w:t>
            </w:r>
          </w:p>
        </w:tc>
      </w:tr>
    </w:tbl>
    <w:p>
      <w:pPr>
        <w:bidi w:val="0"/>
        <w:ind w:left="0" w:leftChars="0" w:firstLine="0" w:firstLineChars="0"/>
        <w:jc w:val="center"/>
        <w:rPr>
          <w:rFonts w:hint="eastAsia" w:ascii="宋体" w:hAnsi="宋体" w:eastAsia="宋体" w:cs="宋体"/>
          <w:b w:val="0"/>
          <w:bCs w:val="0"/>
          <w:kern w:val="2"/>
          <w:sz w:val="21"/>
          <w:szCs w:val="21"/>
          <w:lang w:val="en-US" w:eastAsia="zh-CN" w:bidi="ar-SA"/>
        </w:rPr>
      </w:pPr>
    </w:p>
    <w:p>
      <w:pPr>
        <w:bidi w:val="0"/>
        <w:jc w:val="both"/>
        <w:rPr>
          <w:rFonts w:hint="eastAsia" w:ascii="宋体" w:hAnsi="宋体" w:eastAsia="宋体" w:cs="宋体"/>
          <w:kern w:val="2"/>
          <w:sz w:val="21"/>
          <w:szCs w:val="21"/>
          <w:lang w:val="en-US" w:eastAsia="zh-CN" w:bidi="ar-SA"/>
        </w:rPr>
      </w:pPr>
      <w:r>
        <w:rPr>
          <w:rFonts w:hint="eastAsia"/>
          <w:lang w:val="en-US" w:eastAsia="zh-CN"/>
        </w:rPr>
        <w:t>从毕业生所在专业来看，在</w:t>
      </w:r>
      <w:r>
        <w:rPr>
          <w:rFonts w:hint="eastAsia" w:ascii="宋体" w:hAnsi="宋体" w:cs="宋体"/>
          <w:sz w:val="24"/>
          <w:szCs w:val="24"/>
          <w:lang w:val="en-US" w:eastAsia="zh-CN"/>
        </w:rPr>
        <w:t>合肥市</w:t>
      </w:r>
      <w:r>
        <w:rPr>
          <w:rFonts w:hint="eastAsia"/>
          <w:lang w:val="en-US" w:eastAsia="zh-CN"/>
        </w:rPr>
        <w:t>就业占比最高的院系是服装与服饰设计12人和动漫设计22人，分布占比80.00%和59.46%，如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：2023届毕业生人才回报情况就业专业分布表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5"/>
        <w:gridCol w:w="1725"/>
        <w:gridCol w:w="171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455" w:type="dxa"/>
            <w:shd w:val="clear" w:color="auto" w:fill="548DD4"/>
            <w:noWrap w:val="0"/>
            <w:tcMar>
              <w:top w:w="8" w:type="dxa"/>
              <w:left w:w="8" w:type="dxa"/>
              <w:right w:w="8" w:type="dxa"/>
            </w:tcMar>
            <w:vAlign w:val="center"/>
          </w:tcPr>
          <w:p>
            <w:pPr>
              <w:pStyle w:val="38"/>
              <w:bidi w:val="0"/>
              <w:ind w:firstLine="0" w:firstLineChars="0"/>
              <w:rPr>
                <w:rFonts w:hint="default" w:eastAsia="宋体"/>
                <w:b/>
                <w:bCs/>
                <w:color w:val="FFFFFF"/>
                <w:lang w:val="en-US" w:eastAsia="zh-CN"/>
              </w:rPr>
            </w:pPr>
            <w:r>
              <w:rPr>
                <w:rFonts w:hint="eastAsia"/>
                <w:b/>
                <w:bCs/>
                <w:color w:val="FFFFFF"/>
                <w:lang w:val="en-US" w:eastAsia="zh-CN"/>
              </w:rPr>
              <w:t>专业名称</w:t>
            </w:r>
          </w:p>
        </w:tc>
        <w:tc>
          <w:tcPr>
            <w:tcW w:w="1725" w:type="dxa"/>
            <w:shd w:val="clear" w:color="auto" w:fill="548DD4"/>
            <w:noWrap w:val="0"/>
            <w:tcMar>
              <w:top w:w="8" w:type="dxa"/>
              <w:left w:w="8" w:type="dxa"/>
              <w:right w:w="8" w:type="dxa"/>
            </w:tcMar>
            <w:vAlign w:val="center"/>
          </w:tcPr>
          <w:p>
            <w:pPr>
              <w:pStyle w:val="38"/>
              <w:bidi w:val="0"/>
              <w:ind w:firstLine="0" w:firstLineChars="0"/>
              <w:rPr>
                <w:rFonts w:hint="eastAsia"/>
                <w:b/>
                <w:bCs/>
                <w:color w:val="FFFFFF"/>
              </w:rPr>
            </w:pPr>
            <w:r>
              <w:rPr>
                <w:rFonts w:hint="eastAsia"/>
                <w:b/>
                <w:bCs/>
                <w:color w:val="FFFFFF"/>
                <w:lang w:val="en-US" w:eastAsia="zh-CN"/>
              </w:rPr>
              <w:t>实际就业人数</w:t>
            </w:r>
          </w:p>
        </w:tc>
        <w:tc>
          <w:tcPr>
            <w:tcW w:w="1716" w:type="dxa"/>
            <w:shd w:val="clear" w:color="auto" w:fill="548DD4"/>
            <w:noWrap w:val="0"/>
            <w:tcMar>
              <w:top w:w="8" w:type="dxa"/>
              <w:left w:w="8" w:type="dxa"/>
              <w:right w:w="8" w:type="dxa"/>
            </w:tcMar>
            <w:vAlign w:val="center"/>
          </w:tcPr>
          <w:p>
            <w:pPr>
              <w:pStyle w:val="38"/>
              <w:bidi w:val="0"/>
              <w:ind w:firstLine="0" w:firstLineChars="0"/>
              <w:rPr>
                <w:rFonts w:hint="default"/>
                <w:b/>
                <w:bCs/>
                <w:color w:val="FFFFFF"/>
                <w:lang w:val="en-US"/>
              </w:rPr>
            </w:pPr>
            <w:r>
              <w:rPr>
                <w:rFonts w:hint="eastAsia"/>
                <w:b/>
                <w:bCs/>
                <w:color w:val="FFFFFF"/>
                <w:lang w:val="en-US" w:eastAsia="zh-CN"/>
              </w:rPr>
              <w:t>本地就业数</w:t>
            </w:r>
          </w:p>
        </w:tc>
        <w:tc>
          <w:tcPr>
            <w:tcW w:w="1717" w:type="dxa"/>
            <w:shd w:val="clear" w:color="auto" w:fill="548DD4"/>
            <w:noWrap w:val="0"/>
            <w:tcMar>
              <w:top w:w="8" w:type="dxa"/>
              <w:left w:w="8" w:type="dxa"/>
              <w:right w:w="8" w:type="dxa"/>
            </w:tcMar>
            <w:vAlign w:val="center"/>
          </w:tcPr>
          <w:p>
            <w:pPr>
              <w:pStyle w:val="38"/>
              <w:bidi w:val="0"/>
              <w:ind w:firstLine="0" w:firstLineChars="0"/>
              <w:jc w:val="center"/>
              <w:rPr>
                <w:rFonts w:hint="default"/>
                <w:b/>
                <w:bCs/>
                <w:color w:val="FFFFFF"/>
                <w:lang w:val="en-US"/>
              </w:rPr>
            </w:pPr>
            <w:r>
              <w:rPr>
                <w:rFonts w:hint="eastAsia"/>
                <w:b/>
                <w:bCs/>
                <w:color w:val="FFFFFF"/>
                <w:lang w:val="en-US" w:eastAsia="zh-CN"/>
              </w:rPr>
              <w:t>本地就业率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服装与服饰设计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15</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12</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动漫设计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37</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22</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音乐表演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175</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99</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雕刻艺术设计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9</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室内艺术设计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71</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38</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高速铁路客运乘务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53</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28</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播音与主持</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41</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20</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空中乘务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24</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11</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戏剧影视表演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36</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16</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国际标准舞</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86</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36</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摄影摄像技术</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12</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表演艺术</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53</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22</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数字媒体艺术设计</w:t>
            </w:r>
          </w:p>
        </w:tc>
        <w:tc>
          <w:tcPr>
            <w:tcW w:w="1725" w:type="dxa"/>
            <w:noWrap w:val="0"/>
            <w:tcMar>
              <w:top w:w="8" w:type="dxa"/>
              <w:left w:w="8" w:type="dxa"/>
              <w:right w:w="8" w:type="dxa"/>
            </w:tcMar>
            <w:vAlign w:val="center"/>
          </w:tcPr>
          <w:p>
            <w:pPr>
              <w:pStyle w:val="38"/>
              <w:bidi w:val="0"/>
              <w:ind w:firstLine="0" w:firstLineChars="0"/>
              <w:rPr>
                <w:rFonts w:hint="default" w:ascii="宋体" w:hAnsi="宋体" w:eastAsia="宋体" w:cs="宋体"/>
                <w:kern w:val="2"/>
                <w:sz w:val="21"/>
                <w:szCs w:val="21"/>
                <w:lang w:val="en-US" w:eastAsia="zh-CN" w:bidi="ar-SA"/>
              </w:rPr>
            </w:pPr>
            <w:r>
              <w:rPr>
                <w:rFonts w:hint="eastAsia"/>
                <w:lang w:val="en-US" w:eastAsia="zh-CN"/>
              </w:rPr>
              <w:t>47</w:t>
            </w:r>
          </w:p>
        </w:tc>
        <w:tc>
          <w:tcPr>
            <w:tcW w:w="1716" w:type="dxa"/>
            <w:noWrap w:val="0"/>
            <w:tcMar>
              <w:top w:w="8" w:type="dxa"/>
              <w:left w:w="8" w:type="dxa"/>
              <w:right w:w="8" w:type="dxa"/>
            </w:tcMar>
            <w:vAlign w:val="center"/>
          </w:tcPr>
          <w:p>
            <w:pPr>
              <w:pStyle w:val="38"/>
              <w:bidi w:val="0"/>
              <w:ind w:firstLine="0" w:firstLineChars="0"/>
              <w:rPr>
                <w:rFonts w:hint="default" w:ascii="宋体" w:hAnsi="宋体" w:eastAsia="宋体" w:cs="宋体"/>
                <w:kern w:val="2"/>
                <w:sz w:val="21"/>
                <w:szCs w:val="21"/>
                <w:lang w:val="en-US" w:eastAsia="zh-CN" w:bidi="ar-SA"/>
              </w:rPr>
            </w:pPr>
            <w:r>
              <w:rPr>
                <w:rFonts w:hint="eastAsia"/>
                <w:lang w:val="en-US" w:eastAsia="zh-CN"/>
              </w:rPr>
              <w:t>20</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舞蹈表演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72</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28</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影视编导</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38</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14</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广告设计与制作</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11</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环境艺术设计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39</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14</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48</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17</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美术</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22</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7</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人物形象设计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12</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戏曲表演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27</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11.11%</w:t>
            </w:r>
          </w:p>
        </w:tc>
      </w:tr>
    </w:tbl>
    <w:p>
      <w:pPr>
        <w:bidi w:val="0"/>
        <w:rPr>
          <w:rFonts w:hint="eastAsia"/>
          <w:lang w:val="en-US" w:eastAsia="zh-CN"/>
        </w:rPr>
      </w:pP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23" w:name="_Toc18521"/>
      <w:r>
        <w:rPr>
          <w:rFonts w:hint="eastAsia" w:ascii="宋体" w:hAnsi="宋体" w:cs="宋体"/>
          <w:b/>
          <w:bCs/>
          <w:sz w:val="28"/>
          <w:szCs w:val="28"/>
          <w:lang w:val="en-US" w:eastAsia="zh-CN"/>
        </w:rPr>
        <w:t>毕业生</w:t>
      </w:r>
      <w:r>
        <w:rPr>
          <w:rFonts w:hint="eastAsia"/>
          <w:lang w:val="en-US" w:eastAsia="zh-CN"/>
        </w:rPr>
        <w:t>回流</w:t>
      </w:r>
      <w:r>
        <w:rPr>
          <w:rStyle w:val="24"/>
          <w:rFonts w:hint="eastAsia" w:ascii="宋体" w:hAnsi="宋体" w:eastAsia="宋体" w:cs="宋体"/>
          <w:b w:val="0"/>
          <w:bCs w:val="0"/>
          <w:lang w:val="en-US" w:eastAsia="zh-CN"/>
        </w:rPr>
        <w:footnoteReference w:id="13"/>
      </w:r>
      <w:r>
        <w:rPr>
          <w:rFonts w:hint="eastAsia"/>
          <w:lang w:val="en-US" w:eastAsia="zh-CN"/>
        </w:rPr>
        <w:t>就业情况</w:t>
      </w:r>
      <w:bookmarkEnd w:id="123"/>
    </w:p>
    <w:p>
      <w:pPr>
        <w:bidi w:val="0"/>
        <w:jc w:val="both"/>
        <w:rPr>
          <w:rFonts w:hint="default"/>
          <w:lang w:val="en-US" w:eastAsia="zh-CN"/>
        </w:rPr>
      </w:pPr>
      <w:r>
        <w:rPr>
          <w:rFonts w:hint="eastAsia" w:ascii="Times New Roman" w:hAnsi="Times New Roman" w:cs="Times New Roman"/>
          <w:lang w:val="en-US" w:eastAsia="zh-CN"/>
        </w:rPr>
        <w:t>在全部</w:t>
      </w:r>
      <w:r>
        <w:rPr>
          <w:rFonts w:hint="eastAsia" w:cs="Times New Roman"/>
          <w:lang w:val="en-US" w:eastAsia="zh-CN"/>
        </w:rPr>
        <w:t>毕业生</w:t>
      </w:r>
      <w:r>
        <w:rPr>
          <w:rFonts w:hint="eastAsia" w:ascii="Times New Roman" w:hAnsi="Times New Roman" w:cs="Times New Roman"/>
          <w:lang w:val="en-US" w:eastAsia="zh-CN"/>
        </w:rPr>
        <w:t>1484</w:t>
      </w:r>
      <w:r>
        <w:rPr>
          <w:rFonts w:hint="eastAsia" w:cs="Times New Roman"/>
          <w:lang w:val="en-US" w:eastAsia="zh-CN"/>
        </w:rPr>
        <w:t>名2023届毕业生</w:t>
      </w:r>
      <w:r>
        <w:rPr>
          <w:rFonts w:hint="eastAsia" w:ascii="Times New Roman" w:hAnsi="Times New Roman" w:cs="Times New Roman"/>
          <w:lang w:val="en-US" w:eastAsia="zh-CN"/>
        </w:rPr>
        <w:t>中928</w:t>
      </w:r>
      <w:r>
        <w:rPr>
          <w:rFonts w:hint="eastAsia" w:cs="Times New Roman"/>
          <w:lang w:val="en-US" w:eastAsia="zh-CN"/>
        </w:rPr>
        <w:t>名实际参加工作</w:t>
      </w:r>
      <w:r>
        <w:rPr>
          <w:rFonts w:hint="eastAsia" w:ascii="Times New Roman" w:hAnsi="Times New Roman" w:cs="Times New Roman"/>
          <w:lang w:val="en-US" w:eastAsia="zh-CN"/>
        </w:rPr>
        <w:t>，在他们当中有393回到自己家乡工作，</w:t>
      </w:r>
      <w:r>
        <w:rPr>
          <w:rFonts w:hint="eastAsia" w:cs="Times New Roman"/>
          <w:lang w:val="en-US" w:eastAsia="zh-CN"/>
        </w:rPr>
        <w:t>毕业生</w:t>
      </w:r>
      <w:r>
        <w:rPr>
          <w:rFonts w:hint="eastAsia" w:ascii="Times New Roman" w:hAnsi="Times New Roman" w:cs="Times New Roman"/>
          <w:lang w:val="en-US" w:eastAsia="zh-CN"/>
        </w:rPr>
        <w:t>回流就业比例为42.35%，其中有390名安徽籍</w:t>
      </w:r>
      <w:r>
        <w:rPr>
          <w:rFonts w:hint="eastAsia" w:cs="Times New Roman"/>
          <w:lang w:val="en-US" w:eastAsia="zh-CN"/>
        </w:rPr>
        <w:t>毕业生</w:t>
      </w:r>
      <w:r>
        <w:rPr>
          <w:rFonts w:hint="eastAsia" w:ascii="Times New Roman" w:hAnsi="Times New Roman" w:cs="Times New Roman"/>
          <w:lang w:val="en-US" w:eastAsia="zh-CN"/>
        </w:rPr>
        <w:t>回到自己的家乡工作，回流就业比例为43.09%。在安徽16个市级行政单位中回</w:t>
      </w:r>
      <w:r>
        <w:rPr>
          <w:rFonts w:hint="eastAsia"/>
          <w:lang w:val="en-US" w:eastAsia="zh-CN"/>
        </w:rPr>
        <w:t>原籍就业比例最高的三个城市分别是：黄山市（57.14%）、合肥市（52.30%）和宣城市（32.65%），如</w:t>
      </w:r>
      <w:r>
        <w:rPr>
          <w:rFonts w:hint="eastAsia" w:cs="Times New Roman"/>
          <w:b w:val="0"/>
          <w:bCs w:val="0"/>
          <w:kern w:val="2"/>
          <w:sz w:val="24"/>
          <w:szCs w:val="22"/>
          <w:lang w:val="en-US" w:eastAsia="zh-CN" w:bidi="ar-SA"/>
        </w:rPr>
        <w:t>下图所示：</w:t>
      </w:r>
    </w:p>
    <w:p>
      <w:pPr>
        <w:bidi w:val="0"/>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6" name="图表 6" descr="7b0a202020202263686172745265734964223a20223230343733303535220a7d0a" title="${chart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安徽籍</w:t>
      </w:r>
      <w:r>
        <w:rPr>
          <w:rFonts w:hint="eastAsia" w:ascii="宋体" w:hAnsi="宋体" w:cs="宋体"/>
          <w:b w:val="0"/>
          <w:bCs w:val="0"/>
          <w:kern w:val="2"/>
          <w:sz w:val="21"/>
          <w:szCs w:val="21"/>
          <w:lang w:val="en-US" w:eastAsia="zh-CN" w:bidi="ar-SA"/>
        </w:rPr>
        <w:t>毕业生回家乡就业比例</w:t>
      </w:r>
      <w:r>
        <w:rPr>
          <w:rFonts w:hint="eastAsia" w:ascii="宋体" w:hAnsi="宋体" w:eastAsia="宋体" w:cs="宋体"/>
          <w:b w:val="0"/>
          <w:bCs w:val="0"/>
          <w:kern w:val="2"/>
          <w:sz w:val="21"/>
          <w:szCs w:val="21"/>
          <w:lang w:val="en-US" w:eastAsia="zh-CN" w:bidi="ar-SA"/>
        </w:rPr>
        <w:t>分布</w:t>
      </w:r>
    </w:p>
    <w:p>
      <w:pPr>
        <w:bidi w:val="0"/>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5080" b="8890"/>
            <wp:docPr id="16" name="图表 16" descr="7b0a202020202263686172745265734964223a20223230343733303535220a7d0a" title="${chart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安徽籍</w:t>
      </w:r>
      <w:r>
        <w:rPr>
          <w:rFonts w:hint="eastAsia" w:ascii="宋体" w:hAnsi="宋体" w:cs="宋体"/>
          <w:b w:val="0"/>
          <w:bCs w:val="0"/>
          <w:kern w:val="2"/>
          <w:sz w:val="21"/>
          <w:szCs w:val="21"/>
          <w:lang w:val="en-US" w:eastAsia="zh-CN" w:bidi="ar-SA"/>
        </w:rPr>
        <w:t>毕业生回家乡就业人数</w:t>
      </w:r>
      <w:r>
        <w:rPr>
          <w:rFonts w:hint="eastAsia" w:ascii="宋体" w:hAnsi="宋体" w:eastAsia="宋体" w:cs="宋体"/>
          <w:b w:val="0"/>
          <w:bCs w:val="0"/>
          <w:kern w:val="2"/>
          <w:sz w:val="21"/>
          <w:szCs w:val="21"/>
          <w:lang w:val="en-US" w:eastAsia="zh-CN" w:bidi="ar-SA"/>
        </w:rPr>
        <w:t>分布</w:t>
      </w:r>
    </w:p>
    <w:p>
      <w:pPr>
        <w:bidi w:val="0"/>
        <w:rPr>
          <w:rFonts w:hint="eastAsia"/>
          <w:lang w:val="en-US" w:eastAsia="zh-CN"/>
        </w:rPr>
      </w:pPr>
      <w:r>
        <w:rPr>
          <w:rFonts w:hint="eastAsia"/>
          <w:lang w:val="en-US" w:eastAsia="zh-CN"/>
        </w:rPr>
        <w:t>非皖籍毕业生的回流比例是13.04%。</w:t>
      </w:r>
    </w:p>
    <w:p>
      <w:pPr>
        <w:bidi w:val="0"/>
        <w:jc w:val="both"/>
        <w:rPr>
          <w:rFonts w:hint="eastAsia"/>
          <w:lang w:val="en-US" w:eastAsia="zh-CN"/>
        </w:rPr>
      </w:pPr>
      <w:r>
        <w:rPr>
          <w:rFonts w:hint="eastAsia"/>
          <w:lang w:val="en-US" w:eastAsia="zh-CN"/>
        </w:rPr>
        <w:t>全校范围内综合艺术学院最高，其次是戏曲学院和戏剧学院，如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cs="宋体"/>
          <w:kern w:val="2"/>
          <w:sz w:val="21"/>
          <w:szCs w:val="21"/>
          <w:lang w:val="en-US" w:eastAsia="zh-CN" w:bidi="ar-SA"/>
        </w:rPr>
      </w:pPr>
      <w:r>
        <w:rPr>
          <w:rFonts w:hint="eastAsia" w:ascii="宋体" w:hAnsi="宋体" w:cs="宋体"/>
          <w:b w:val="0"/>
          <w:bCs w:val="0"/>
          <w:kern w:val="2"/>
          <w:sz w:val="21"/>
          <w:szCs w:val="21"/>
          <w:lang w:val="en-US" w:eastAsia="zh-CN" w:bidi="ar-SA"/>
        </w:rPr>
        <w:t>表：</w:t>
      </w:r>
      <w:r>
        <w:rPr>
          <w:rFonts w:hint="eastAsia" w:ascii="宋体" w:hAnsi="宋体" w:cs="宋体"/>
          <w:kern w:val="2"/>
          <w:sz w:val="21"/>
          <w:szCs w:val="21"/>
          <w:lang w:val="en-US" w:eastAsia="zh-CN" w:bidi="ar-SA"/>
        </w:rPr>
        <w:t>2023届毕业生回家乡就业院系分布表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004"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98"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总人数</w:t>
            </w:r>
          </w:p>
        </w:tc>
        <w:tc>
          <w:tcPr>
            <w:tcW w:w="99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回流人数</w:t>
            </w:r>
          </w:p>
        </w:tc>
        <w:tc>
          <w:tcPr>
            <w:tcW w:w="998" w:type="pct"/>
            <w:shd w:val="clear" w:color="auto" w:fill="548DD4"/>
            <w:noWrap w:val="0"/>
            <w:tcMar>
              <w:top w:w="8" w:type="dxa"/>
              <w:left w:w="8" w:type="dxa"/>
              <w:right w:w="8" w:type="dxa"/>
            </w:tcMar>
            <w:vAlign w:val="center"/>
          </w:tcPr>
          <w:p>
            <w:pPr>
              <w:pStyle w:val="38"/>
              <w:bidi w:val="0"/>
              <w:jc w:val="center"/>
              <w:rPr>
                <w:rFonts w:hint="default" w:eastAsia="宋体"/>
                <w:b/>
                <w:bCs/>
                <w:color w:val="FFFFFF"/>
                <w:lang w:val="en-US" w:eastAsia="zh-CN"/>
              </w:rPr>
            </w:pPr>
            <w:r>
              <w:rPr>
                <w:rFonts w:hint="eastAsia"/>
                <w:b/>
                <w:bCs/>
                <w:color w:val="FFFFFF"/>
                <w:lang w:val="en-US" w:eastAsia="zh-CN"/>
              </w:rPr>
              <w:t>回流比例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综合艺术学院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274</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502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新闻传媒学院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85</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16.47%</w:t>
            </w:r>
          </w:p>
        </w:tc>
      </w:tr>
    </w:tbl>
    <w:p>
      <w:pPr>
        <w:bidi w:val="0"/>
        <w:rPr>
          <w:rFonts w:hint="eastAsia"/>
          <w:lang w:val="en-US" w:eastAsia="zh-CN"/>
        </w:rPr>
      </w:pP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24" w:name="_Toc26404"/>
      <w:bookmarkStart w:id="125" w:name="_Toc18094"/>
      <w:bookmarkStart w:id="126" w:name="_Toc8349"/>
      <w:r>
        <w:rPr>
          <w:rFonts w:hint="eastAsia"/>
          <w:lang w:val="en-US" w:eastAsia="zh-CN"/>
        </w:rPr>
        <w:t>毕业生在重点单位重点行业就业情况</w:t>
      </w:r>
      <w:bookmarkEnd w:id="124"/>
      <w:bookmarkEnd w:id="125"/>
    </w:p>
    <w:p>
      <w:pPr>
        <w:bidi w:val="0"/>
        <w:jc w:val="both"/>
        <w:rPr>
          <w:rFonts w:hint="eastAsia"/>
          <w:lang w:val="en-US" w:eastAsia="zh-CN"/>
        </w:rPr>
      </w:pPr>
      <w:r>
        <w:rPr>
          <w:rFonts w:hint="eastAsia"/>
          <w:lang w:val="en-US" w:eastAsia="zh-CN"/>
        </w:rPr>
        <w:t>2023届毕业生就业质量高，共有19名毕业生在世界500强、中国500强、央企和省企就业，其中在世界500强就业人数为9，中国500强就业人数为7，央企就业人数为7和省企就业人数为0，占全部实际就业毕业生的比例为2.05%，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b w:val="0"/>
          <w:bCs w:val="0"/>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：2023届毕业生世界500强单位录取毕情况</w:t>
      </w:r>
    </w:p>
    <w:tbl>
      <w:tblPr>
        <w:tblStyle w:val="1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18"/>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665"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单位名称</w:t>
            </w:r>
          </w:p>
        </w:tc>
        <w:tc>
          <w:tcPr>
            <w:tcW w:w="1334"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苹果公司(美国)</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星巴克公司(美国)</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中国铁路工程集团有限公司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中国邮政集团有限公司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万科企业股份有限公司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顺丰控股股份有限公司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bl>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：2023届毕业生中国500强单位录取情况</w:t>
      </w:r>
    </w:p>
    <w:tbl>
      <w:tblPr>
        <w:tblStyle w:val="1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18"/>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665"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单位名称</w:t>
            </w:r>
          </w:p>
        </w:tc>
        <w:tc>
          <w:tcPr>
            <w:tcW w:w="1334"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吉利汽车控股有限公司[137]</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中国中铁股份有限公司[5]</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万科企业股份有限公司[29]</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美团[68]</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中国东方航空股份有限公司[201]</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蔚来集团[344]</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bl>
    <w:p>
      <w:pPr>
        <w:bidi w:val="0"/>
        <w:ind w:left="0" w:leftChars="0" w:firstLine="0" w:firstLineChars="0"/>
        <w:jc w:val="center"/>
        <w:rPr>
          <w:rFonts w:hint="eastAsia" w:ascii="宋体" w:hAnsi="宋体" w:eastAsia="宋体" w:cs="宋体"/>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：2023届毕业生央企单位录取情况</w:t>
      </w:r>
    </w:p>
    <w:tbl>
      <w:tblPr>
        <w:tblStyle w:val="1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18"/>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665"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单位名称</w:t>
            </w:r>
          </w:p>
        </w:tc>
        <w:tc>
          <w:tcPr>
            <w:tcW w:w="1334"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中国电子科技集团有限公司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中国东方航空集团有限公司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中国节能环保集团有限公司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中国铁路工程集团有限公司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6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中国农业发展集团有限公司</w:t>
            </w:r>
          </w:p>
        </w:tc>
        <w:tc>
          <w:tcPr>
            <w:tcW w:w="1334"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r>
    </w:tbl>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b w:val="0"/>
          <w:bCs w:val="0"/>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：2023届毕业生重点单位录取情况</w:t>
      </w:r>
    </w:p>
    <w:bookmarkEnd w:id="79"/>
    <w:bookmarkEnd w:id="86"/>
    <w:bookmarkEnd w:id="87"/>
    <w:bookmarkEnd w:id="126"/>
    <w:tbl>
      <w:tblPr>
        <w:tblStyle w:val="1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16"/>
        <w:gridCol w:w="1600"/>
        <w:gridCol w:w="1600"/>
        <w:gridCol w:w="1600"/>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285"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28" w:type="pct"/>
            <w:shd w:val="clear" w:color="auto" w:fill="548DD4"/>
            <w:noWrap w:val="0"/>
            <w:tcMar>
              <w:top w:w="8" w:type="dxa"/>
              <w:left w:w="8" w:type="dxa"/>
              <w:right w:w="8" w:type="dxa"/>
            </w:tcMar>
            <w:vAlign w:val="center"/>
          </w:tcPr>
          <w:p>
            <w:pPr>
              <w:pStyle w:val="38"/>
              <w:bidi w:val="0"/>
              <w:rPr>
                <w:rFonts w:hint="default"/>
                <w:b/>
                <w:bCs/>
                <w:color w:val="FFFFFF"/>
                <w:lang w:val="en-US"/>
              </w:rPr>
            </w:pPr>
            <w:r>
              <w:rPr>
                <w:rFonts w:hint="eastAsia"/>
                <w:b/>
                <w:bCs/>
                <w:color w:val="FFFFFF"/>
                <w:lang w:val="en-US" w:eastAsia="zh-CN"/>
              </w:rPr>
              <w:t>世界500强</w:t>
            </w:r>
          </w:p>
        </w:tc>
        <w:tc>
          <w:tcPr>
            <w:tcW w:w="92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中国500强</w:t>
            </w:r>
          </w:p>
        </w:tc>
        <w:tc>
          <w:tcPr>
            <w:tcW w:w="92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央企</w:t>
            </w:r>
          </w:p>
        </w:tc>
        <w:tc>
          <w:tcPr>
            <w:tcW w:w="929"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省企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美术学院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7</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2</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4</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音乐学院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2</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综合艺术学院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戏剧学院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舞蹈学院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新闻传媒学院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85"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戏曲学院</w:t>
            </w:r>
          </w:p>
        </w:tc>
        <w:tc>
          <w:tcPr>
            <w:tcW w:w="928" w:type="pct"/>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c>
          <w:tcPr>
            <w:tcW w:w="928"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c>
          <w:tcPr>
            <w:tcW w:w="929" w:type="pct"/>
            <w:noWrap w:val="0"/>
            <w:tcMar>
              <w:top w:w="8" w:type="dxa"/>
              <w:left w:w="8" w:type="dxa"/>
              <w:right w:w="8" w:type="dxa"/>
            </w:tcMar>
            <w:vAlign w:val="center"/>
          </w:tcPr>
          <w:p>
            <w:pPr>
              <w:pStyle w:val="38"/>
              <w:bidi w:val="0"/>
              <w:rPr>
                <w:rFonts w:hint="eastAsia"/>
                <w:lang w:val="en-US" w:eastAsia="zh-CN"/>
              </w:rPr>
            </w:pPr>
            <w:r>
              <w:rPr>
                <w:rFonts w:hint="eastAsia"/>
                <w:lang w:val="en-US" w:eastAsia="zh-CN"/>
              </w:rPr>
              <w:t>0</w:t>
            </w:r>
          </w:p>
        </w:tc>
      </w:tr>
    </w:tbl>
    <w:p>
      <w:pPr>
        <w:pStyle w:val="6"/>
        <w:spacing w:before="3"/>
        <w:ind w:left="0" w:leftChars="0" w:firstLine="0" w:firstLineChars="0"/>
        <w:rPr>
          <w:rFonts w:hint="eastAsia"/>
          <w:sz w:val="17"/>
          <w:lang w:val="en-US" w:eastAsia="zh-CN"/>
        </w:rPr>
      </w:pPr>
    </w:p>
    <w:p>
      <w:pPr>
        <w:pStyle w:val="2"/>
        <w:bidi w:val="0"/>
        <w:rPr>
          <w:rFonts w:hint="eastAsia"/>
        </w:rPr>
      </w:pPr>
      <w:bookmarkStart w:id="127" w:name="_Toc1941"/>
      <w:r>
        <w:rPr>
          <w:rFonts w:hint="eastAsia"/>
        </w:rPr>
        <w:t>第</w:t>
      </w:r>
      <w:r>
        <w:rPr>
          <w:rFonts w:hint="eastAsia"/>
          <w:lang w:val="en-US" w:eastAsia="zh-CN"/>
        </w:rPr>
        <w:t>四</w:t>
      </w:r>
      <w:r>
        <w:rPr>
          <w:rFonts w:hint="eastAsia"/>
        </w:rPr>
        <w:t xml:space="preserve">部分 </w:t>
      </w:r>
      <w:r>
        <w:rPr>
          <w:rFonts w:hint="eastAsia"/>
          <w:lang w:eastAsia="zh-CN"/>
        </w:rPr>
        <w:t>毕业生</w:t>
      </w:r>
      <w:r>
        <w:rPr>
          <w:rFonts w:hint="eastAsia"/>
          <w:lang w:val="en-US" w:eastAsia="zh-CN"/>
        </w:rPr>
        <w:t>升学</w:t>
      </w:r>
      <w:r>
        <w:rPr>
          <w:rFonts w:hint="eastAsia"/>
        </w:rPr>
        <w:t>情况</w:t>
      </w:r>
      <w:bookmarkEnd w:id="127"/>
    </w:p>
    <w:p>
      <w:pPr>
        <w:bidi w:val="0"/>
        <w:rPr>
          <w:rFonts w:hint="eastAsia"/>
          <w:highlight w:val="none"/>
          <w:lang w:val="en-US" w:eastAsia="zh-CN"/>
        </w:rPr>
      </w:pPr>
      <w:r>
        <w:rPr>
          <w:rFonts w:hint="eastAsia"/>
          <w:highlight w:val="none"/>
          <w:lang w:val="en-US" w:eastAsia="zh-CN"/>
        </w:rPr>
        <w:t>升学率包含毕业生国内升学（专升本、</w:t>
      </w:r>
      <w:r>
        <w:rPr>
          <w:rFonts w:hint="eastAsia" w:ascii="宋体" w:hAnsi="宋体" w:cs="宋体"/>
          <w:highlight w:val="none"/>
          <w:lang w:val="en-US" w:eastAsia="zh-CN"/>
        </w:rPr>
        <w:t>考取研究生</w:t>
      </w:r>
      <w:r>
        <w:rPr>
          <w:rFonts w:hint="eastAsia"/>
          <w:highlight w:val="none"/>
          <w:lang w:val="en-US" w:eastAsia="zh-CN"/>
        </w:rPr>
        <w:t>和硕士升博）和出国出境（升学非就业），我校2023届毕业生共有397升学，其中396人专升本，1名人在国（境）外继续学习，全部升学毕业生占全部毕业生的26.75%。全校升学各专项统计如下：</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国内升学率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val="en-US" w:eastAsia="zh-CN"/>
              </w:rPr>
              <w:t>国内升学率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新闻传媒学院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85</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34</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戏剧学院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142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50</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502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168</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247</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55</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综合艺术学院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193</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36</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舞蹈学院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274</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50</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戏曲学院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41</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7.32%</w:t>
            </w:r>
          </w:p>
        </w:tc>
      </w:tr>
    </w:tbl>
    <w:p>
      <w:pPr>
        <w:bidi w:val="0"/>
        <w:rPr>
          <w:rFonts w:hint="eastAsia"/>
          <w:highlight w:val="none"/>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2023届困难生群体升学率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val="en-US" w:eastAsia="zh-CN"/>
              </w:rPr>
              <w:t>国内升学率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戏曲学院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新闻传媒学院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戏剧学院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美术学院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音乐学院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16</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舞蹈学院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15.00%</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出国出境率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val="en-US" w:eastAsia="zh-CN"/>
              </w:rPr>
              <w:t>出国出境率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247</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0.40%</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 xml:space="preserve"> </w:t>
      </w:r>
      <w:r>
        <w:rPr>
          <w:rFonts w:hint="eastAsia" w:ascii="宋体" w:hAnsi="宋体" w:cs="宋体"/>
          <w:kern w:val="2"/>
          <w:sz w:val="21"/>
          <w:szCs w:val="21"/>
          <w:lang w:val="en-US" w:eastAsia="zh-CN" w:bidi="ar-SA"/>
        </w:rPr>
        <w:t>2023届专科生升本入学情况表</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5"/>
        <w:gridCol w:w="1395"/>
        <w:gridCol w:w="135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4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专升本率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5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8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广告设计与制作</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65.63%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播音与主持</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85</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戏剧影视表演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16</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服装与服饰设计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8</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影视编导</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室内艺术设计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39</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动漫设计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19</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数字媒体艺术设计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74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73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人物形象设计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环境艺术设计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18</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rPr>
            </w:pPr>
            <w:r>
              <w:rPr>
                <w:rFonts w:hint="eastAsia" w:ascii="宋体" w:hAnsi="宋体" w:cs="宋体"/>
                <w:kern w:val="2"/>
                <w:sz w:val="21"/>
                <w:szCs w:val="21"/>
                <w:lang w:val="en-US" w:eastAsia="zh-CN" w:bidi="ar-SA"/>
              </w:rPr>
              <w:t>82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eastAsia="宋体"/>
                <w:lang w:val="en-US" w:eastAsia="zh-CN"/>
              </w:rPr>
            </w:pPr>
            <w:r>
              <w:rPr>
                <w:rFonts w:hint="eastAsia" w:ascii="宋体" w:hAnsi="宋体" w:cs="宋体"/>
                <w:kern w:val="2"/>
                <w:sz w:val="21"/>
                <w:szCs w:val="21"/>
                <w:lang w:val="en-US" w:eastAsia="zh-CN" w:bidi="ar-SA"/>
              </w:rPr>
              <w:t>23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257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55</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摄影摄像技术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国际标准舞</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空中乘务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6</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雕刻艺术设计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153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27</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戏曲表演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高速铁路客运乘务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5.00%</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numPr>
          <w:ilvl w:val="0"/>
          <w:numId w:val="0"/>
        </w:numPr>
        <w:bidi w:val="0"/>
        <w:rPr>
          <w:rFonts w:hint="eastAsia"/>
          <w:lang w:val="en-US" w:eastAsia="zh-CN"/>
        </w:rPr>
      </w:pPr>
    </w:p>
    <w:p>
      <w:pPr>
        <w:pStyle w:val="2"/>
        <w:bidi w:val="0"/>
        <w:rPr>
          <w:rFonts w:hint="default"/>
          <w:lang w:val="en-US" w:eastAsia="zh-CN"/>
        </w:rPr>
      </w:pPr>
      <w:bookmarkStart w:id="128" w:name="_Toc25252"/>
      <w:bookmarkStart w:id="129" w:name="_Toc24365"/>
      <w:bookmarkStart w:id="130" w:name="_Toc13156"/>
      <w:bookmarkStart w:id="131" w:name="_Toc19528"/>
      <w:bookmarkStart w:id="132" w:name="_Toc21201"/>
      <w:bookmarkStart w:id="133" w:name="_Toc3169"/>
      <w:r>
        <w:rPr>
          <w:rFonts w:hint="eastAsia"/>
          <w:lang w:val="en-US" w:eastAsia="zh-CN"/>
        </w:rPr>
        <w:t xml:space="preserve">第五部分 </w:t>
      </w:r>
      <w:bookmarkEnd w:id="128"/>
      <w:bookmarkEnd w:id="129"/>
      <w:r>
        <w:rPr>
          <w:rFonts w:hint="eastAsia"/>
          <w:lang w:val="en-US" w:eastAsia="zh-CN"/>
        </w:rPr>
        <w:t>毕业生</w:t>
      </w:r>
      <w:bookmarkEnd w:id="130"/>
      <w:r>
        <w:rPr>
          <w:rFonts w:hint="eastAsia"/>
          <w:lang w:val="en-US" w:eastAsia="zh-CN"/>
        </w:rPr>
        <w:t>对教育教学的反馈</w:t>
      </w:r>
      <w:bookmarkEnd w:id="131"/>
      <w:bookmarkEnd w:id="132"/>
      <w:bookmarkEnd w:id="133"/>
    </w:p>
    <w:p>
      <w:pPr>
        <w:bidi w:val="0"/>
        <w:jc w:val="left"/>
        <w:rPr>
          <w:rFonts w:hint="eastAsia"/>
          <w:lang w:val="en-US" w:eastAsia="zh-CN"/>
        </w:rPr>
      </w:pPr>
      <w:bookmarkStart w:id="134" w:name="_Toc18877"/>
      <w:bookmarkStart w:id="135" w:name="_Toc26240"/>
      <w:r>
        <w:rPr>
          <w:rFonts w:hint="eastAsia"/>
          <w:lang w:val="en-US" w:eastAsia="zh-CN"/>
        </w:rPr>
        <w:t>截止2023年7月10日，安徽艺术职业学院2023届毕业生离校后，经对1224名毕业生所做的调查显示，被调查毕业生数占毕业生总人数的82.48%，毕业生对母校总体满意度高，对学校总体满意度为96.49%。各学院参与调研情况如表：</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毕业生参与调查学院分布情况表</w:t>
      </w:r>
    </w:p>
    <w:tbl>
      <w:tblPr>
        <w:tblStyle w:val="17"/>
        <w:tblW w:w="4998" w:type="pct"/>
        <w:jc w:val="center"/>
        <w:tblLayout w:type="autofit"/>
        <w:tblCellMar>
          <w:top w:w="15" w:type="dxa"/>
          <w:left w:w="15" w:type="dxa"/>
          <w:bottom w:w="15" w:type="dxa"/>
          <w:right w:w="15" w:type="dxa"/>
        </w:tblCellMar>
      </w:tblPr>
      <w:tblGrid>
        <w:gridCol w:w="3627"/>
        <w:gridCol w:w="1666"/>
        <w:gridCol w:w="1666"/>
        <w:gridCol w:w="1668"/>
      </w:tblGrid>
      <w:tr>
        <w:tblPrEx>
          <w:tblCellMar>
            <w:top w:w="15" w:type="dxa"/>
            <w:left w:w="15" w:type="dxa"/>
            <w:bottom w:w="15" w:type="dxa"/>
            <w:right w:w="15" w:type="dxa"/>
          </w:tblCellMar>
        </w:tblPrEx>
        <w:trPr>
          <w:trHeight w:val="567" w:hRule="atLeast"/>
          <w:jc w:val="center"/>
        </w:trPr>
        <w:tc>
          <w:tcPr>
            <w:tcW w:w="362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学院名称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总人数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投票数</w:t>
            </w:r>
          </w:p>
        </w:tc>
        <w:tc>
          <w:tcPr>
            <w:tcW w:w="1668"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投票率</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479</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95.42%</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184</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67.15%</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128</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90.14%</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9.76%</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新闻传媒学院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85</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81.18%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247</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81.78%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综合艺术学院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158</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81.87%</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毕业生参与调查</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3627"/>
        <w:gridCol w:w="1666"/>
        <w:gridCol w:w="1666"/>
        <w:gridCol w:w="1668"/>
      </w:tblGrid>
      <w:tr>
        <w:tblPrEx>
          <w:tblCellMar>
            <w:top w:w="15" w:type="dxa"/>
            <w:left w:w="15" w:type="dxa"/>
            <w:bottom w:w="15" w:type="dxa"/>
            <w:right w:w="15" w:type="dxa"/>
          </w:tblCellMar>
        </w:tblPrEx>
        <w:trPr>
          <w:trHeight w:val="567" w:hRule="atLeast"/>
          <w:jc w:val="center"/>
        </w:trPr>
        <w:tc>
          <w:tcPr>
            <w:tcW w:w="362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总人数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投票数</w:t>
            </w:r>
          </w:p>
        </w:tc>
        <w:tc>
          <w:tcPr>
            <w:tcW w:w="1668"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投票率</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表演艺术</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default" w:ascii="微软雅黑 Light" w:hAnsi="微软雅黑 Light" w:eastAsia="微软雅黑 Light" w:cs="微软雅黑 Light"/>
                <w:kern w:val="0"/>
                <w:szCs w:val="21"/>
                <w:lang w:val="en-US" w:bidi="ar"/>
              </w:rPr>
            </w:pPr>
            <w:r>
              <w:rPr>
                <w:rFonts w:hint="eastAsia"/>
                <w:lang w:val="en-US" w:eastAsia="zh-CN"/>
              </w:rPr>
              <w:t>82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default" w:ascii="微软雅黑 Light" w:hAnsi="微软雅黑 Light" w:eastAsia="微软雅黑 Light" w:cs="微软雅黑 Light"/>
                <w:kern w:val="0"/>
                <w:szCs w:val="21"/>
                <w:lang w:val="en-US" w:bidi="ar"/>
              </w:rPr>
            </w:pPr>
            <w:r>
              <w:rPr>
                <w:rFonts w:hint="eastAsia"/>
                <w:lang w:val="en-US" w:eastAsia="zh-CN"/>
              </w:rPr>
              <w:t>63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76.54%</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播音与主持</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85</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81.18%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雕刻艺术设计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动漫设计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56</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93.33%</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服装与服饰设计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91.67%</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高速铁路客运乘务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96.67%</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广告设计与制作</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国际标准舞</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59.50%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环境艺术设计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91.94%</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空中乘务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71.88%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93.18%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人物形象设计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摄影摄像技术</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73.68%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室内艺术设计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118</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97.52%</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数字媒体艺术设计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default" w:ascii="微软雅黑 Light" w:hAnsi="微软雅黑 Light" w:eastAsia="微软雅黑 Light" w:cs="微软雅黑 Light"/>
                <w:kern w:val="0"/>
                <w:szCs w:val="21"/>
                <w:lang w:val="en-US" w:bidi="ar"/>
              </w:rPr>
            </w:pPr>
            <w:r>
              <w:rPr>
                <w:rFonts w:hint="eastAsia"/>
                <w:lang w:val="en-US" w:eastAsia="zh-CN"/>
              </w:rPr>
              <w:t>75</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default" w:ascii="微软雅黑 Light" w:hAnsi="微软雅黑 Light" w:eastAsia="微软雅黑 Light" w:cs="微软雅黑 Light"/>
                <w:kern w:val="0"/>
                <w:szCs w:val="21"/>
                <w:lang w:val="en-US" w:bidi="ar"/>
              </w:rPr>
            </w:pPr>
            <w:r>
              <w:rPr>
                <w:rFonts w:hint="eastAsia"/>
                <w:lang w:val="en-US" w:eastAsia="zh-CN"/>
              </w:rPr>
              <w:t>71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94.59%</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73.20%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戏剧影视表演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56</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90.32%</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12.90%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97.26%</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257</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78.60%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影视编导</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55</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87.30%</w:t>
            </w:r>
          </w:p>
        </w:tc>
      </w:tr>
    </w:tbl>
    <w:p>
      <w:pPr>
        <w:bidi w:val="0"/>
        <w:rPr>
          <w:rFonts w:hint="eastAsia" w:ascii="Times New Roman" w:hAnsi="Times New Roman" w:cs="Times New Roman"/>
          <w:lang w:val="en-US" w:eastAsia="zh-CN"/>
        </w:rPr>
      </w:pPr>
    </w:p>
    <w:p>
      <w:pPr>
        <w:bidi w:val="0"/>
        <w:jc w:val="left"/>
        <w:rPr>
          <w:rFonts w:hint="eastAsia"/>
          <w:lang w:val="en-US" w:eastAsia="zh-CN"/>
        </w:rPr>
      </w:pPr>
      <w:r>
        <w:rPr>
          <w:rFonts w:hint="eastAsia"/>
          <w:lang w:val="en-US" w:eastAsia="zh-CN"/>
        </w:rPr>
        <w:t>在1224名参与调查的毕业生中有39.13%已落实就业单位共479人，另外求职中毕业生，共155人占比12.66%；内地升学毕业生的人占比32.43%；待就业和暂不就业意向毕业生占比2.45%，详见下图：</w:t>
      </w:r>
    </w:p>
    <w:p>
      <w:pPr>
        <w:pStyle w:val="16"/>
        <w:ind w:left="0" w:leftChars="0" w:firstLine="0" w:firstLineChars="0"/>
        <w:jc w:val="center"/>
        <w:rPr>
          <w:rFonts w:hint="eastAsia" w:ascii="宋体" w:hAnsi="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18" name="图表 18" descr="您当前的就业状况是" title="${chart-1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hint="eastAsia" w:ascii="宋体" w:hAnsi="宋体" w:cs="宋体"/>
          <w:kern w:val="2"/>
          <w:sz w:val="21"/>
          <w:szCs w:val="21"/>
          <w:lang w:val="en-US" w:eastAsia="zh-CN" w:bidi="ar-SA"/>
        </w:rPr>
        <w:t>图 毕业生当前毕业去向分布</w:t>
      </w:r>
    </w:p>
    <w:p>
      <w:pPr>
        <w:pStyle w:val="3"/>
        <w:numPr>
          <w:ilvl w:val="0"/>
          <w:numId w:val="6"/>
        </w:numPr>
        <w:bidi w:val="0"/>
        <w:rPr>
          <w:rFonts w:hint="eastAsia"/>
          <w:lang w:val="en-US" w:eastAsia="zh-CN"/>
        </w:rPr>
      </w:pPr>
      <w:bookmarkStart w:id="136" w:name="_Toc7591"/>
      <w:bookmarkStart w:id="137" w:name="_Toc30185"/>
      <w:r>
        <w:rPr>
          <w:rFonts w:hint="eastAsia"/>
          <w:lang w:val="en-US" w:eastAsia="zh-CN"/>
        </w:rPr>
        <w:t>毕业生求职状况分析</w:t>
      </w:r>
      <w:bookmarkEnd w:id="134"/>
      <w:bookmarkEnd w:id="135"/>
      <w:bookmarkEnd w:id="136"/>
      <w:bookmarkEnd w:id="137"/>
    </w:p>
    <w:p>
      <w:pPr>
        <w:bidi w:val="0"/>
        <w:jc w:val="left"/>
        <w:rPr>
          <w:rFonts w:hint="eastAsia"/>
          <w:lang w:val="en-US" w:eastAsia="zh-CN"/>
        </w:rPr>
      </w:pPr>
      <w:r>
        <w:rPr>
          <w:rFonts w:hint="eastAsia"/>
          <w:lang w:val="en-US" w:eastAsia="zh-CN"/>
        </w:rPr>
        <w:t>在参与调查的毕业生共有634名毕业生填写了有关求职状况的问卷，其中已落实就业工作479人，求职中155人。</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38" w:name="_Toc28573"/>
      <w:bookmarkStart w:id="139" w:name="_Toc1789"/>
      <w:r>
        <w:rPr>
          <w:rFonts w:hint="eastAsia" w:asciiTheme="minorEastAsia" w:hAnsiTheme="minorEastAsia" w:eastAsiaTheme="minorEastAsia" w:cstheme="minorEastAsia"/>
          <w:b w:val="0"/>
          <w:bCs w:val="0"/>
          <w:lang w:val="en-US" w:eastAsia="zh-CN"/>
        </w:rPr>
        <w:t>学校提供的最有用的就业指导内容</w:t>
      </w:r>
      <w:bookmarkEnd w:id="138"/>
      <w:bookmarkEnd w:id="139"/>
    </w:p>
    <w:p>
      <w:pPr>
        <w:bidi w:val="0"/>
        <w:jc w:val="left"/>
        <w:rPr>
          <w:rFonts w:hint="eastAsia"/>
          <w:lang w:val="en-US" w:eastAsia="zh-CN"/>
        </w:rPr>
      </w:pPr>
      <w:r>
        <w:rPr>
          <w:rFonts w:hint="eastAsia"/>
          <w:lang w:val="en-US" w:eastAsia="zh-CN"/>
        </w:rPr>
        <w:t>调查数据显示，在学校提供的就业指导内容中，53.59%的毕业生认为大学生涯规划是最有用的，其次是职业发展规划的占比18.22%，然后是发布招聘需求与薪资信息的占比18.22%，接着是辅导简历写作占比7.11%，可以看出大学生涯规划和职业发展规划方面是毕业生最需要的。详见下图。</w:t>
      </w:r>
    </w:p>
    <w:p>
      <w:pPr>
        <w:pStyle w:val="16"/>
        <w:ind w:left="0" w:leftChars="0" w:firstLine="0" w:firstLineChars="0"/>
        <w:rPr>
          <w:rFonts w:hint="eastAsia"/>
          <w:lang w:val="en-US" w:eastAsia="zh-CN"/>
        </w:rPr>
      </w:pPr>
      <w:r>
        <w:rPr>
          <w:rFonts w:hint="eastAsia" w:eastAsia="宋体"/>
          <w:lang w:eastAsia="zh-CN"/>
        </w:rPr>
        <w:drawing>
          <wp:inline distT="0" distB="0" distL="114300" distR="114300">
            <wp:extent cx="5455920" cy="3791585"/>
            <wp:effectExtent l="0" t="0" r="6350" b="8255"/>
            <wp:docPr id="19" name="图表 19" descr="学校提供的最有用的就业指导内容是" title="${chart-1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46"/>
        <w:spacing w:line="36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 学校提供的最有用的就业指导内容</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0" w:name="_Toc14247"/>
      <w:bookmarkStart w:id="141" w:name="_Toc11013"/>
      <w:r>
        <w:rPr>
          <w:rFonts w:hint="eastAsia" w:asciiTheme="minorEastAsia" w:hAnsiTheme="minorEastAsia" w:eastAsiaTheme="minorEastAsia" w:cstheme="minorEastAsia"/>
          <w:b w:val="0"/>
          <w:bCs w:val="0"/>
          <w:lang w:val="en-US" w:eastAsia="zh-CN"/>
        </w:rPr>
        <w:t>如何看待当前的高校就业指导</w:t>
      </w:r>
      <w:bookmarkEnd w:id="140"/>
      <w:bookmarkEnd w:id="141"/>
    </w:p>
    <w:p>
      <w:pPr>
        <w:bidi w:val="0"/>
        <w:jc w:val="left"/>
        <w:rPr>
          <w:rFonts w:hint="eastAsia"/>
          <w:lang w:val="en-US" w:eastAsia="zh-CN"/>
        </w:rPr>
      </w:pPr>
      <w:r>
        <w:rPr>
          <w:rFonts w:hint="eastAsia"/>
          <w:lang w:val="en-US" w:eastAsia="zh-CN"/>
        </w:rPr>
        <w:t>调查数据显示，在接受就业指导的毕业生中有40.52%的认为有一些作用，40.28%的认为非常实用，只有4.90%的参与调研毕业生认为没有任何作用。详见下图。</w:t>
      </w:r>
    </w:p>
    <w:p>
      <w:pPr>
        <w:pStyle w:val="16"/>
        <w:rPr>
          <w:rFonts w:hint="eastAsia"/>
          <w:lang w:val="en-US" w:eastAsia="zh-CN"/>
        </w:rPr>
      </w:pPr>
    </w:p>
    <w:p>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445760" cy="2673350"/>
            <wp:effectExtent l="0" t="0" r="5715" b="3810"/>
            <wp:docPr id="22" name="图表 22" descr="您如何看待当前的高校就业指导" title="${chart-1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hint="eastAsia" w:ascii="宋体" w:hAnsi="宋体" w:cs="宋体"/>
          <w:kern w:val="2"/>
          <w:sz w:val="21"/>
          <w:szCs w:val="21"/>
          <w:lang w:val="en-US" w:eastAsia="zh-CN" w:bidi="ar-SA"/>
        </w:rPr>
        <w:t>图 如何看待当前的高校就业指导</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2" w:name="_Toc5856"/>
      <w:bookmarkStart w:id="143" w:name="_Toc30295"/>
      <w:r>
        <w:rPr>
          <w:rFonts w:hint="eastAsia" w:asciiTheme="minorEastAsia" w:hAnsiTheme="minorEastAsia" w:eastAsiaTheme="minorEastAsia" w:cstheme="minorEastAsia"/>
          <w:b w:val="0"/>
          <w:bCs w:val="0"/>
          <w:lang w:val="en-US" w:eastAsia="zh-CN"/>
        </w:rPr>
        <w:t>学校在毕业生就业方面最应加强哪些工作</w:t>
      </w:r>
      <w:bookmarkEnd w:id="142"/>
      <w:bookmarkEnd w:id="143"/>
    </w:p>
    <w:p>
      <w:pPr>
        <w:pStyle w:val="16"/>
        <w:ind w:left="0" w:leftChars="0" w:firstLine="0" w:firstLineChars="0"/>
        <w:jc w:val="center"/>
        <w:rPr>
          <w:rFonts w:hint="eastAsia" w:ascii="宋体" w:hAnsi="宋体" w:cs="宋体"/>
          <w:kern w:val="2"/>
          <w:sz w:val="21"/>
          <w:szCs w:val="21"/>
          <w:lang w:val="en-US" w:eastAsia="zh-CN" w:bidi="ar-SA"/>
        </w:rPr>
      </w:pPr>
      <w:r>
        <w:rPr>
          <w:rFonts w:hint="eastAsia" w:eastAsia="宋体"/>
          <w:lang w:eastAsia="zh-CN"/>
        </w:rPr>
        <w:drawing>
          <wp:inline distT="0" distB="0" distL="114300" distR="114300">
            <wp:extent cx="5455920" cy="4868545"/>
            <wp:effectExtent l="0" t="0" r="6350" b="0"/>
            <wp:docPr id="106" name="图表 106" descr="您认为学校在毕业生就业方面最应加强哪些工作（可多选，限选3项）" title="${chart-1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hint="eastAsia" w:ascii="宋体" w:hAnsi="宋体" w:cs="宋体"/>
          <w:kern w:val="2"/>
          <w:sz w:val="21"/>
          <w:szCs w:val="21"/>
          <w:lang w:val="en-US" w:eastAsia="zh-CN" w:bidi="ar-SA"/>
        </w:rPr>
        <w:t>图 学校在毕业生就业方面最应加强哪些工作</w:t>
      </w:r>
    </w:p>
    <w:p>
      <w:pPr>
        <w:bidi w:val="0"/>
        <w:jc w:val="left"/>
        <w:rPr>
          <w:rFonts w:hint="eastAsia"/>
          <w:lang w:val="en-US" w:eastAsia="zh-CN"/>
        </w:rPr>
      </w:pPr>
      <w:r>
        <w:rPr>
          <w:rFonts w:hint="eastAsia"/>
          <w:lang w:val="en-US" w:eastAsia="zh-CN"/>
        </w:rPr>
        <w:t>调查数据显示，宣传解释国家和地方有关毕业生的就业政策是毕业生最希望学校加强的就业工作，占全部参与调研毕业生的47.30%，其次提供更多的针对性就业信息和针对毕业生就业的个体咨询，分别占比46.41%和36.60%，详见上图。</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4" w:name="_Toc21033"/>
      <w:bookmarkStart w:id="145" w:name="_Toc6411"/>
      <w:r>
        <w:rPr>
          <w:rFonts w:hint="eastAsia" w:asciiTheme="minorEastAsia" w:hAnsiTheme="minorEastAsia" w:eastAsiaTheme="minorEastAsia" w:cstheme="minorEastAsia"/>
          <w:b w:val="0"/>
          <w:bCs w:val="0"/>
          <w:lang w:val="en-US" w:eastAsia="zh-CN"/>
        </w:rPr>
        <w:t>学校提供的就业指导与服务中，哪些最重要</w:t>
      </w:r>
      <w:bookmarkEnd w:id="144"/>
      <w:bookmarkEnd w:id="145"/>
    </w:p>
    <w:p>
      <w:pPr>
        <w:bidi w:val="0"/>
        <w:jc w:val="left"/>
        <w:rPr>
          <w:rFonts w:hint="eastAsia"/>
          <w:lang w:val="en-US" w:eastAsia="zh-CN"/>
        </w:rPr>
      </w:pPr>
      <w:r>
        <w:rPr>
          <w:rFonts w:hint="eastAsia"/>
          <w:lang w:val="en-US" w:eastAsia="zh-CN"/>
        </w:rPr>
        <w:t>调查数据显示，在学校提供的就业指导与服务中，提供准确有效的就业信息是参与调查毕业生认为是最重要的，占比57.76%；其次是组织校园招聘会和提供专业化和个性化的就业指导，分别占比占41.34%和40.93%。详见下图。</w:t>
      </w:r>
    </w:p>
    <w:p>
      <w:pPr>
        <w:bidi w:val="0"/>
        <w:ind w:left="0" w:leftChars="0" w:firstLine="0" w:firstLineChars="0"/>
        <w:jc w:val="center"/>
        <w:rPr>
          <w:rFonts w:hint="eastAsia" w:cs="Times New Roman"/>
          <w:sz w:val="21"/>
          <w:szCs w:val="21"/>
          <w:lang w:val="en-US" w:eastAsia="zh-CN"/>
        </w:rPr>
      </w:pPr>
      <w:r>
        <w:rPr>
          <w:rFonts w:hint="eastAsia" w:eastAsia="宋体"/>
          <w:lang w:eastAsia="zh-CN"/>
        </w:rPr>
        <w:drawing>
          <wp:inline distT="0" distB="0" distL="114300" distR="114300">
            <wp:extent cx="5455920" cy="3791585"/>
            <wp:effectExtent l="0" t="0" r="6350" b="8255"/>
            <wp:docPr id="107" name="图表 107" descr="学校提供的就业指导与服务中，您认为哪些最重要（可多选，限选3项）" title="${chart-1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hAnsi="宋体" w:cs="宋体"/>
          <w:kern w:val="2"/>
          <w:sz w:val="21"/>
          <w:szCs w:val="21"/>
          <w:lang w:val="en-US" w:eastAsia="zh-CN" w:bidi="ar-SA"/>
        </w:rPr>
        <w:t>图 学校提供的就业指导与服务中，哪些最重要</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6" w:name="_Toc27415"/>
      <w:bookmarkStart w:id="147" w:name="_Toc20400"/>
      <w:r>
        <w:rPr>
          <w:rFonts w:hint="eastAsia" w:asciiTheme="minorEastAsia" w:hAnsiTheme="minorEastAsia" w:eastAsiaTheme="minorEastAsia" w:cstheme="minorEastAsia"/>
          <w:b w:val="0"/>
          <w:bCs w:val="0"/>
          <w:lang w:val="en-US" w:eastAsia="zh-CN"/>
        </w:rPr>
        <w:t>学校组织的毕业实习实践主要存在哪些问题</w:t>
      </w:r>
      <w:bookmarkEnd w:id="146"/>
      <w:bookmarkEnd w:id="147"/>
    </w:p>
    <w:p>
      <w:pPr>
        <w:bidi w:val="0"/>
        <w:jc w:val="left"/>
        <w:rPr>
          <w:rFonts w:hint="eastAsia"/>
          <w:lang w:val="en-US" w:eastAsia="zh-CN"/>
        </w:rPr>
      </w:pPr>
      <w:r>
        <w:rPr>
          <w:rFonts w:hint="eastAsia"/>
          <w:lang w:val="en-US" w:eastAsia="zh-CN"/>
        </w:rPr>
        <w:t>调查数据显示，学校组织的毕业实习实践存在的问题中，可供选择的实习单位太少是被参与调研毕业生排在第一位占比32.68%，其次是对学校组织的毕业实习实践感到满意,没有问题的占比29.33%，然后是学校没有安排毕业实习或教学计划中没有毕业实习的学分要求有24.02%的毕业生选择此项。详见下图。</w:t>
      </w:r>
    </w:p>
    <w:p>
      <w:pPr>
        <w:pStyle w:val="16"/>
        <w:rPr>
          <w:rFonts w:hint="eastAsia"/>
          <w:lang w:val="en-US" w:eastAsia="zh-CN"/>
        </w:rPr>
      </w:pPr>
    </w:p>
    <w:p>
      <w:pPr>
        <w:pStyle w:val="16"/>
        <w:ind w:left="0" w:leftChars="0" w:firstLine="0" w:firstLineChars="0"/>
        <w:jc w:val="center"/>
        <w:rPr>
          <w:rFonts w:hint="eastAsia"/>
          <w:lang w:val="en-US" w:eastAsia="zh-CN"/>
        </w:rPr>
      </w:pPr>
      <w:r>
        <w:rPr>
          <w:rFonts w:hint="eastAsia" w:eastAsia="宋体"/>
          <w:lang w:eastAsia="zh-CN"/>
        </w:rPr>
        <w:drawing>
          <wp:inline distT="0" distB="0" distL="114300" distR="114300">
            <wp:extent cx="5455920" cy="2959100"/>
            <wp:effectExtent l="0" t="0" r="6350" b="9525"/>
            <wp:docPr id="108" name="图表 108" descr="您认为学校组织的毕业实习实践主要存在哪些问题（可多选，限选3项）" title="${chart-18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hAnsi="宋体" w:cs="宋体"/>
          <w:kern w:val="2"/>
          <w:sz w:val="21"/>
          <w:szCs w:val="21"/>
          <w:lang w:val="en-US" w:eastAsia="zh-CN" w:bidi="ar-SA"/>
        </w:rPr>
        <w:t>图 学校组织的毕业实习实践主要存在哪些问题</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8" w:name="_Toc1320"/>
      <w:bookmarkStart w:id="149" w:name="_Toc812"/>
      <w:r>
        <w:rPr>
          <w:rFonts w:hint="eastAsia" w:asciiTheme="minorEastAsia" w:hAnsiTheme="minorEastAsia" w:eastAsiaTheme="minorEastAsia" w:cstheme="minorEastAsia"/>
          <w:b w:val="0"/>
          <w:bCs w:val="0"/>
          <w:lang w:val="en-US" w:eastAsia="zh-CN"/>
        </w:rPr>
        <w:t>是否参与过就业技能培训</w:t>
      </w:r>
      <w:bookmarkEnd w:id="148"/>
      <w:bookmarkEnd w:id="149"/>
    </w:p>
    <w:p>
      <w:pPr>
        <w:bidi w:val="0"/>
        <w:jc w:val="left"/>
        <w:rPr>
          <w:rFonts w:hint="eastAsia"/>
          <w:lang w:val="en-US" w:eastAsia="zh-CN"/>
        </w:rPr>
      </w:pPr>
      <w:r>
        <w:rPr>
          <w:rFonts w:hint="eastAsia"/>
          <w:lang w:val="en-US" w:eastAsia="zh-CN"/>
        </w:rPr>
        <w:t>调查数据显示，在学校参与过的毕业生占比36.44%，在社会机构参与过的占比22.39%，想参与但是没有途径的毕业生占比14.54%，不准备参与的占比14.05%，其他的没参与过但准备参与的毕业生占比12.58%。详见下图。</w:t>
      </w:r>
    </w:p>
    <w:p>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445760" cy="2673350"/>
            <wp:effectExtent l="0" t="0" r="5715" b="3810"/>
            <wp:docPr id="23" name="图表 23" descr="您是否参与过就业技能培训" title="${chart-1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hAnsi="宋体" w:cs="宋体"/>
          <w:kern w:val="2"/>
          <w:sz w:val="21"/>
          <w:szCs w:val="21"/>
          <w:lang w:val="en-US" w:eastAsia="zh-CN" w:bidi="ar-SA"/>
        </w:rPr>
        <w:t>图 是否参与过就业技能培训</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50" w:name="_Toc6705"/>
      <w:bookmarkStart w:id="151" w:name="_Toc26122"/>
      <w:r>
        <w:rPr>
          <w:rFonts w:hint="eastAsia" w:asciiTheme="minorEastAsia" w:hAnsiTheme="minorEastAsia" w:eastAsiaTheme="minorEastAsia" w:cstheme="minorEastAsia"/>
          <w:b w:val="0"/>
          <w:bCs w:val="0"/>
          <w:lang w:val="en-US" w:eastAsia="zh-CN"/>
        </w:rPr>
        <w:t>目前大学生就业总体形势</w:t>
      </w:r>
      <w:bookmarkEnd w:id="150"/>
      <w:bookmarkEnd w:id="151"/>
    </w:p>
    <w:p>
      <w:pPr>
        <w:bidi w:val="0"/>
        <w:jc w:val="left"/>
        <w:rPr>
          <w:rFonts w:hint="eastAsia"/>
          <w:lang w:val="en-US" w:eastAsia="zh-CN"/>
        </w:rPr>
      </w:pPr>
      <w:r>
        <w:rPr>
          <w:rFonts w:hint="eastAsia"/>
          <w:lang w:val="en-US" w:eastAsia="zh-CN"/>
        </w:rPr>
        <w:t>调查数据显示，毕业生认为不容乐观，但通过努力可以找到工作有40.77%，其次有29.41%的毕业生认为非常乐观，自信能找到满意的工作，另外有5.47%的毕业生认为非常严峻，根本找不到工作，尤其从2020年以来受新冠疫情的影响，详见下图。</w:t>
      </w:r>
    </w:p>
    <w:p>
      <w:pPr>
        <w:pStyle w:val="16"/>
        <w:ind w:left="0" w:leftChars="0" w:firstLine="0" w:firstLineChars="0"/>
        <w:jc w:val="center"/>
        <w:rPr>
          <w:rFonts w:hint="eastAsia" w:ascii="宋体" w:hAnsi="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24" name="图表 24" descr="您认为目前大学生就业总体形势如何" title="${chart-1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hAnsi="宋体" w:cs="宋体"/>
          <w:kern w:val="2"/>
          <w:sz w:val="21"/>
          <w:szCs w:val="21"/>
          <w:lang w:val="en-US" w:eastAsia="zh-CN" w:bidi="ar-SA"/>
        </w:rPr>
        <w:t>图 目前大学生就业总体形势</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认为总体就业形势乐观</w:t>
      </w:r>
      <w:r>
        <w:rPr>
          <w:rFonts w:hint="eastAsia" w:ascii="宋体" w:hAnsi="宋体" w:eastAsia="宋体" w:cs="宋体"/>
          <w:kern w:val="2"/>
          <w:sz w:val="21"/>
          <w:szCs w:val="21"/>
          <w:lang w:val="en-US" w:eastAsia="zh-CN" w:bidi="ar-SA"/>
        </w:rPr>
        <w:t>学院分布情况表</w:t>
      </w:r>
    </w:p>
    <w:tbl>
      <w:tblPr>
        <w:tblStyle w:val="17"/>
        <w:tblW w:w="4998" w:type="pct"/>
        <w:jc w:val="center"/>
        <w:tblLayout w:type="autofit"/>
        <w:tblCellMar>
          <w:top w:w="15" w:type="dxa"/>
          <w:left w:w="15" w:type="dxa"/>
          <w:bottom w:w="15" w:type="dxa"/>
          <w:right w:w="15" w:type="dxa"/>
        </w:tblCellMar>
      </w:tblPr>
      <w:tblGrid>
        <w:gridCol w:w="3035"/>
        <w:gridCol w:w="1398"/>
        <w:gridCol w:w="1398"/>
        <w:gridCol w:w="1398"/>
        <w:gridCol w:w="1398"/>
      </w:tblGrid>
      <w:tr>
        <w:tblPrEx>
          <w:tblCellMar>
            <w:top w:w="15" w:type="dxa"/>
            <w:left w:w="15" w:type="dxa"/>
            <w:bottom w:w="15" w:type="dxa"/>
            <w:right w:w="15" w:type="dxa"/>
          </w:tblCellMar>
        </w:tblPrEx>
        <w:trPr>
          <w:trHeight w:val="567" w:hRule="atLeast"/>
          <w:jc w:val="center"/>
        </w:trPr>
        <w:tc>
          <w:tcPr>
            <w:tcW w:w="175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非常乐观</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不容乐观</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较严峻</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非常严峻</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30.48%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39.87%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24.63%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5.01%</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35.33%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43.48%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19.02%</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28.13%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36.72%</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23.44%</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11.72%</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14.49%</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43.48%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44.06%</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6.44%</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29.75%</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37.97%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26.58%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5.70%</w:t>
            </w:r>
          </w:p>
        </w:tc>
      </w:tr>
    </w:tbl>
    <w:p>
      <w:pPr>
        <w:pStyle w:val="16"/>
        <w:ind w:left="0" w:leftChars="0" w:firstLine="0" w:firstLineChars="0"/>
        <w:jc w:val="center"/>
        <w:rPr>
          <w:rFonts w:hint="eastAsia" w:ascii="宋体" w:hAnsi="宋体" w:cs="宋体"/>
          <w:kern w:val="2"/>
          <w:sz w:val="21"/>
          <w:szCs w:val="21"/>
          <w:lang w:val="en-US" w:eastAsia="zh-CN" w:bidi="ar-SA"/>
        </w:rPr>
      </w:pP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52" w:name="_Toc22921"/>
      <w:bookmarkStart w:id="153" w:name="_Toc23858"/>
      <w:r>
        <w:rPr>
          <w:rFonts w:hint="eastAsia" w:asciiTheme="minorEastAsia" w:hAnsiTheme="minorEastAsia" w:eastAsiaTheme="minorEastAsia" w:cstheme="minorEastAsia"/>
          <w:b w:val="0"/>
          <w:bCs w:val="0"/>
          <w:lang w:val="en-US" w:eastAsia="zh-CN"/>
        </w:rPr>
        <w:t>对近年来国家及我省出台的促进高校毕业生就业政策措施是否了解</w:t>
      </w:r>
      <w:bookmarkEnd w:id="152"/>
      <w:bookmarkEnd w:id="153"/>
    </w:p>
    <w:p>
      <w:pPr>
        <w:bidi w:val="0"/>
        <w:jc w:val="left"/>
        <w:rPr>
          <w:rFonts w:hint="eastAsia"/>
          <w:lang w:val="en-US" w:eastAsia="zh-CN"/>
        </w:rPr>
      </w:pPr>
      <w:r>
        <w:rPr>
          <w:rFonts w:hint="eastAsia"/>
          <w:lang w:val="en-US" w:eastAsia="zh-CN"/>
        </w:rPr>
        <w:t>调查数据显示，</w:t>
      </w:r>
      <w:r>
        <w:rPr>
          <w:rFonts w:hint="eastAsia" w:asciiTheme="minorEastAsia" w:hAnsiTheme="minorEastAsia" w:eastAsiaTheme="minorEastAsia" w:cstheme="minorEastAsia"/>
          <w:b w:val="0"/>
          <w:bCs w:val="0"/>
          <w:lang w:val="en-US" w:eastAsia="zh-CN"/>
        </w:rPr>
        <w:t>对近年来国家及我省出台的促进高校毕业生就业政策措施</w:t>
      </w:r>
      <w:r>
        <w:rPr>
          <w:rFonts w:hint="eastAsia"/>
          <w:lang w:val="en-US" w:eastAsia="zh-CN"/>
        </w:rPr>
        <w:t>方面，有35.62%的毕业生是一般了解，比较理解的毕业生有27.53%，非常了解的毕业生有23.86%。详见下图。</w:t>
      </w:r>
    </w:p>
    <w:p>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5445760" cy="2673350"/>
            <wp:effectExtent l="0" t="0" r="5715" b="3810"/>
            <wp:docPr id="26" name="图表 26" descr="您对近年来国家及我省出台的促进高校毕业生就业政策措施是否了解（如就业创业求职补贴政策、基层就业政策、创业扶持政策、继续考研和专升本、考编、参军入伍等政策）" title="${chart-1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hAnsi="宋体" w:cs="宋体"/>
          <w:kern w:val="2"/>
          <w:sz w:val="21"/>
          <w:szCs w:val="21"/>
          <w:lang w:val="en-US" w:eastAsia="zh-CN" w:bidi="ar-SA"/>
        </w:rPr>
        <w:t xml:space="preserve">图 </w:t>
      </w:r>
      <w:r>
        <w:rPr>
          <w:rFonts w:hint="eastAsia" w:ascii="Times New Roman" w:hAnsi="Times New Roman" w:eastAsia="宋体" w:cs="Times New Roman"/>
          <w:kern w:val="2"/>
          <w:sz w:val="21"/>
          <w:szCs w:val="21"/>
          <w:lang w:val="en-US" w:eastAsia="zh-CN" w:bidi="ar-SA"/>
        </w:rPr>
        <w:t>对近年来国家及我省出台的促进高校毕业生就业政策措施是否了解</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54" w:name="_Toc4419"/>
      <w:bookmarkStart w:id="155" w:name="_Toc26555"/>
      <w:r>
        <w:rPr>
          <w:rFonts w:hint="eastAsia" w:asciiTheme="minorEastAsia" w:hAnsiTheme="minorEastAsia" w:eastAsiaTheme="minorEastAsia" w:cstheme="minorEastAsia"/>
          <w:b w:val="0"/>
          <w:bCs w:val="0"/>
          <w:lang w:val="en-US" w:eastAsia="zh-CN"/>
        </w:rPr>
        <w:t>通过哪些渠道了解以上就业政策</w:t>
      </w:r>
      <w:bookmarkEnd w:id="154"/>
      <w:bookmarkEnd w:id="155"/>
    </w:p>
    <w:p>
      <w:pPr>
        <w:bidi w:val="0"/>
        <w:jc w:val="left"/>
        <w:rPr>
          <w:rFonts w:hint="eastAsia"/>
          <w:lang w:val="en-US" w:eastAsia="zh-CN"/>
        </w:rPr>
      </w:pPr>
      <w:r>
        <w:rPr>
          <w:rFonts w:hint="eastAsia"/>
          <w:lang w:val="en-US" w:eastAsia="zh-CN"/>
        </w:rPr>
        <w:t>调查数据显示，在了解国家及我省出台的促进高校毕业生就业政策措施的渠道上，学校的就业服务部门(校园海报宣传/短信通知/母校就业信息网/母校就业小程序/母校就业微信公众号等)和国家和省24365大学生就业服务平台分布占比45.55%和14.62%，是毕业生了解的主要渠道。详见下图。</w:t>
      </w:r>
    </w:p>
    <w:p>
      <w:pPr>
        <w:pStyle w:val="16"/>
        <w:ind w:left="0" w:leftChars="0" w:firstLine="0" w:firstLineChars="0"/>
        <w:jc w:val="center"/>
        <w:rPr>
          <w:rFonts w:hint="eastAsia" w:ascii="宋体" w:hAnsi="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27" name="图表 27" descr="您通过哪些渠道了解以上就业政策？" title="${chart-2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hAnsi="宋体" w:cs="宋体"/>
          <w:kern w:val="2"/>
          <w:sz w:val="21"/>
          <w:szCs w:val="21"/>
          <w:lang w:val="en-US" w:eastAsia="zh-CN" w:bidi="ar-SA"/>
        </w:rPr>
        <w:t>图 通过哪些渠道了解以上就业政策</w:t>
      </w:r>
    </w:p>
    <w:p>
      <w:pPr>
        <w:pStyle w:val="3"/>
        <w:numPr>
          <w:ilvl w:val="0"/>
          <w:numId w:val="6"/>
        </w:numPr>
        <w:bidi w:val="0"/>
        <w:rPr>
          <w:rFonts w:hint="eastAsia"/>
          <w:lang w:val="en-US" w:eastAsia="zh-CN"/>
        </w:rPr>
      </w:pPr>
      <w:bookmarkStart w:id="156" w:name="_Toc13220"/>
      <w:bookmarkStart w:id="157" w:name="_Toc29132"/>
      <w:bookmarkStart w:id="158" w:name="_Toc13210"/>
      <w:bookmarkStart w:id="159" w:name="_Toc9784"/>
      <w:r>
        <w:rPr>
          <w:rFonts w:hint="eastAsia"/>
          <w:lang w:val="en-US" w:eastAsia="zh-CN"/>
        </w:rPr>
        <w:t>毕业生求职过程分析</w:t>
      </w:r>
      <w:bookmarkEnd w:id="156"/>
      <w:bookmarkEnd w:id="157"/>
      <w:bookmarkEnd w:id="158"/>
      <w:bookmarkEnd w:id="159"/>
    </w:p>
    <w:p>
      <w:pPr>
        <w:bidi w:val="0"/>
        <w:jc w:val="left"/>
        <w:rPr>
          <w:rFonts w:hint="eastAsia"/>
          <w:lang w:val="en-US" w:eastAsia="zh-CN"/>
        </w:rPr>
      </w:pPr>
      <w:bookmarkStart w:id="160" w:name="_Toc22212"/>
      <w:bookmarkStart w:id="161" w:name="_Toc12084"/>
      <w:r>
        <w:rPr>
          <w:rFonts w:hint="eastAsia"/>
          <w:lang w:val="en-US" w:eastAsia="zh-CN"/>
        </w:rPr>
        <w:t>在参与调查的毕业生共有634名毕业生填写了有关求职过程的问卷，其中已落实就业工作479人，正在求职中但工作尚未落实的有155人。</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求职前期望首选的就业单位</w:t>
      </w:r>
      <w:bookmarkEnd w:id="160"/>
      <w:bookmarkEnd w:id="161"/>
    </w:p>
    <w:p>
      <w:pPr>
        <w:bidi w:val="0"/>
        <w:jc w:val="center"/>
        <w:rPr>
          <w:rFonts w:hint="eastAsia" w:ascii="宋体" w:hAnsi="宋体" w:eastAsia="宋体" w:cs="宋体"/>
          <w:kern w:val="2"/>
          <w:sz w:val="21"/>
          <w:szCs w:val="21"/>
          <w:lang w:val="en-US" w:eastAsia="zh-CN" w:bidi="ar-SA"/>
        </w:rPr>
      </w:pPr>
      <w:r>
        <w:rPr>
          <w:rFonts w:hint="eastAsia"/>
          <w:lang w:val="en-US" w:eastAsia="zh-CN"/>
        </w:rPr>
        <w:t>调查数据显示，毕业生求职前期望首选的就业单位是工作相对稳定的其他、事业单位和政府机关，三项合计超过54.42%，分别占比为33.60%、30.60%和13.72%，期望去部队的只有1.42%，详见下图。</w:t>
      </w:r>
      <w:r>
        <w:rPr>
          <w:rFonts w:hint="eastAsia" w:eastAsia="宋体"/>
          <w:lang w:eastAsia="zh-CN"/>
        </w:rPr>
        <w:drawing>
          <wp:inline distT="0" distB="0" distL="114300" distR="114300">
            <wp:extent cx="5455920" cy="3101975"/>
            <wp:effectExtent l="0" t="0" r="6350" b="6985"/>
            <wp:docPr id="21" name="图表 21" descr="求职前您期望首选的就业单位是" title="${chart-1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求职前期望首选的就业单位</w:t>
      </w:r>
    </w:p>
    <w:p>
      <w:pPr>
        <w:pStyle w:val="4"/>
        <w:numPr>
          <w:ilvl w:val="0"/>
          <w:numId w:val="8"/>
        </w:numPr>
        <w:bidi w:val="0"/>
        <w:ind w:left="845" w:leftChars="0" w:hanging="425" w:firstLineChars="0"/>
        <w:rPr>
          <w:rFonts w:hint="eastAsia" w:asciiTheme="minorEastAsia" w:hAnsiTheme="minorEastAsia" w:eastAsiaTheme="minorEastAsia" w:cstheme="minorEastAsia"/>
          <w:b/>
          <w:bCs/>
          <w:highlight w:val="none"/>
          <w:lang w:val="en-US" w:eastAsia="zh-CN"/>
        </w:rPr>
      </w:pPr>
      <w:bookmarkStart w:id="162" w:name="_Toc8311"/>
      <w:bookmarkStart w:id="163" w:name="_Toc31006"/>
      <w:r>
        <w:rPr>
          <w:rFonts w:hint="eastAsia" w:asciiTheme="minorEastAsia" w:hAnsiTheme="minorEastAsia" w:eastAsiaTheme="minorEastAsia" w:cstheme="minorEastAsia"/>
          <w:b/>
          <w:bCs/>
          <w:highlight w:val="none"/>
          <w:lang w:val="en-US" w:eastAsia="zh-CN"/>
        </w:rPr>
        <w:t>求职前期望首选的工作地区</w:t>
      </w:r>
      <w:bookmarkEnd w:id="162"/>
      <w:bookmarkEnd w:id="163"/>
    </w:p>
    <w:p>
      <w:pPr>
        <w:bidi w:val="0"/>
        <w:jc w:val="left"/>
        <w:rPr>
          <w:rFonts w:hint="eastAsia"/>
          <w:lang w:val="en-US" w:eastAsia="zh-CN"/>
        </w:rPr>
      </w:pPr>
      <w:r>
        <w:rPr>
          <w:rFonts w:hint="eastAsia"/>
          <w:lang w:val="en-US" w:eastAsia="zh-CN"/>
        </w:rPr>
        <w:t>调查数据显示，毕业生求职前期望首选的工作地区，首选的是合肥市，有44.64%的调查学生，其次是安徽省内其他地市有26.50%的毕业生选择，然后是长三角(除皖)经济圈（上海+江苏+浙江）有14.20%的调查毕业生。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2618105"/>
            <wp:effectExtent l="0" t="0" r="6350" b="5080"/>
            <wp:docPr id="25" name="图表 25" descr="求职前期望首选的工作地区" title="${chart-1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 xml:space="preserve"> 求职前期望首选的工作地区</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4" w:name="_Toc30589"/>
      <w:bookmarkStart w:id="165" w:name="_Toc4919"/>
      <w:r>
        <w:rPr>
          <w:rFonts w:hint="eastAsia" w:asciiTheme="minorEastAsia" w:hAnsiTheme="minorEastAsia" w:eastAsiaTheme="minorEastAsia" w:cstheme="minorEastAsia"/>
          <w:b w:val="0"/>
          <w:bCs w:val="0"/>
          <w:lang w:val="en-US" w:eastAsia="zh-CN"/>
        </w:rPr>
        <w:t>求职前期望首选的工作地</w:t>
      </w:r>
      <w:bookmarkEnd w:id="164"/>
      <w:bookmarkEnd w:id="165"/>
    </w:p>
    <w:p>
      <w:pPr>
        <w:bidi w:val="0"/>
        <w:jc w:val="left"/>
        <w:rPr>
          <w:rFonts w:hint="eastAsia"/>
          <w:lang w:val="en-US" w:eastAsia="zh-CN"/>
        </w:rPr>
      </w:pPr>
      <w:r>
        <w:rPr>
          <w:rFonts w:hint="eastAsia"/>
          <w:lang w:val="en-US" w:eastAsia="zh-CN"/>
        </w:rPr>
        <w:t>调查数据显示，求职前期望首选其他地区最多有31.23%，选择生源所在地的也有27.76%的参与调查毕业生选择，母校所在地的有27.29%的选择，最后是既是母校所在地也是生源所在地占比13.72%。详见下图。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30" name="图表 30" descr="求职前您期望首选的工作地是" title="${chart-1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求职前期望首选的工作地</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6" w:name="_Toc29242"/>
      <w:bookmarkStart w:id="167" w:name="_Toc9762"/>
      <w:r>
        <w:rPr>
          <w:rFonts w:hint="eastAsia" w:asciiTheme="minorEastAsia" w:hAnsiTheme="minorEastAsia" w:eastAsiaTheme="minorEastAsia" w:cstheme="minorEastAsia"/>
          <w:b w:val="0"/>
          <w:bCs w:val="0"/>
          <w:lang w:val="en-US" w:eastAsia="zh-CN"/>
        </w:rPr>
        <w:t>求职前期望平均月收入（税前）是人民币多少元/月</w:t>
      </w:r>
      <w:bookmarkEnd w:id="166"/>
      <w:bookmarkEnd w:id="167"/>
    </w:p>
    <w:p>
      <w:pPr>
        <w:bidi w:val="0"/>
        <w:jc w:val="left"/>
        <w:rPr>
          <w:rFonts w:hint="eastAsia"/>
          <w:lang w:val="en-US" w:eastAsia="zh-CN"/>
        </w:rPr>
      </w:pPr>
      <w:r>
        <w:rPr>
          <w:rFonts w:hint="eastAsia"/>
          <w:lang w:val="en-US" w:eastAsia="zh-CN"/>
        </w:rPr>
        <w:t>调查数据显示，毕业生就业期望薪资水平集中在4000到10000的三个区间段内，其中4000-5999元的占比36.44%，6000-7999元的占比27.13%，2000-3999元的占比11.36%，详见下图。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109" name="图表 109" descr="求职前您期望平均月收入（税前）是人民币多少元/月" title="${chart-1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求职前期望平均月收入（税前）是人民币多少元/月</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8" w:name="_Toc23502"/>
      <w:bookmarkStart w:id="169" w:name="_Toc16872"/>
      <w:r>
        <w:rPr>
          <w:rFonts w:hint="eastAsia" w:asciiTheme="minorEastAsia" w:hAnsiTheme="minorEastAsia" w:eastAsiaTheme="minorEastAsia" w:cstheme="minorEastAsia"/>
          <w:b w:val="0"/>
          <w:bCs w:val="0"/>
          <w:lang w:val="en-US" w:eastAsia="zh-CN"/>
        </w:rPr>
        <w:t>获取求职信息的主要渠道是</w:t>
      </w:r>
      <w:bookmarkEnd w:id="168"/>
      <w:bookmarkEnd w:id="169"/>
    </w:p>
    <w:p>
      <w:pPr>
        <w:bidi w:val="0"/>
        <w:jc w:val="left"/>
        <w:rPr>
          <w:rFonts w:hint="eastAsia"/>
          <w:lang w:val="en-US" w:eastAsia="zh-CN"/>
        </w:rPr>
      </w:pPr>
      <w:r>
        <w:rPr>
          <w:rFonts w:hint="eastAsia"/>
          <w:lang w:val="en-US" w:eastAsia="zh-CN"/>
        </w:rPr>
        <w:t>根据调查统计显示，2023届毕业生就业途径呈多样性趋势，其中，学校的就业推荐服务以及亲友推荐的分别占比42.11%和28.23%，第三是其他的占比27.76%，详见下图。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110" name="图表 110" descr="您获取求职信息的主要渠道是（可多选，限选3项）" title="${chart-1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获取求职信息的主要渠道是</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0" w:name="_Toc8110"/>
      <w:bookmarkStart w:id="171" w:name="_Toc28388"/>
      <w:r>
        <w:rPr>
          <w:rFonts w:hint="eastAsia" w:asciiTheme="minorEastAsia" w:hAnsiTheme="minorEastAsia" w:eastAsiaTheme="minorEastAsia" w:cstheme="minorEastAsia"/>
          <w:b w:val="0"/>
          <w:bCs w:val="0"/>
          <w:lang w:val="en-US" w:eastAsia="zh-CN"/>
        </w:rPr>
        <w:t>求职过程中总共投递过多少份简历</w:t>
      </w:r>
      <w:bookmarkEnd w:id="170"/>
      <w:bookmarkEnd w:id="171"/>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32" name="图表 32" descr="求职过程中您总共投递过多少份简历" title="${chart-1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求职过程中总共投递过多少份简历</w:t>
      </w:r>
    </w:p>
    <w:p>
      <w:pPr>
        <w:bidi w:val="0"/>
        <w:jc w:val="left"/>
        <w:rPr>
          <w:rFonts w:hint="eastAsia"/>
          <w:highlight w:val="none"/>
          <w:lang w:val="en-US" w:eastAsia="zh-CN"/>
        </w:rPr>
      </w:pPr>
      <w:r>
        <w:rPr>
          <w:rFonts w:hint="eastAsia"/>
          <w:highlight w:val="none"/>
          <w:lang w:val="en-US" w:eastAsia="zh-CN"/>
        </w:rPr>
        <w:t>调查数据显示，毕业生求职所投简历数</w:t>
      </w:r>
      <w:r>
        <w:rPr>
          <w:rFonts w:hint="eastAsia"/>
          <w:lang w:val="en-US" w:eastAsia="zh-CN"/>
        </w:rPr>
        <w:t>1-5份</w:t>
      </w:r>
      <w:r>
        <w:rPr>
          <w:rFonts w:hint="eastAsia"/>
          <w:highlight w:val="none"/>
          <w:lang w:val="en-US" w:eastAsia="zh-CN"/>
        </w:rPr>
        <w:t>占</w:t>
      </w:r>
      <w:r>
        <w:rPr>
          <w:rFonts w:hint="eastAsia"/>
          <w:lang w:val="en-US" w:eastAsia="zh-CN"/>
        </w:rPr>
        <w:t>50.16%</w:t>
      </w:r>
      <w:r>
        <w:rPr>
          <w:rFonts w:hint="eastAsia"/>
          <w:highlight w:val="none"/>
          <w:lang w:val="en-US" w:eastAsia="zh-CN"/>
        </w:rPr>
        <w:t>，说明毕业求职成功率还是非常高的，</w:t>
      </w:r>
      <w:r>
        <w:rPr>
          <w:rFonts w:hint="eastAsia"/>
          <w:lang w:val="en-US" w:eastAsia="zh-CN"/>
        </w:rPr>
        <w:t>0（没有投过简历）</w:t>
      </w:r>
      <w:r>
        <w:rPr>
          <w:rFonts w:hint="eastAsia"/>
          <w:highlight w:val="none"/>
          <w:lang w:val="en-US" w:eastAsia="zh-CN"/>
        </w:rPr>
        <w:t>的占</w:t>
      </w:r>
      <w:r>
        <w:rPr>
          <w:rFonts w:hint="eastAsia"/>
          <w:lang w:val="en-US" w:eastAsia="zh-CN"/>
        </w:rPr>
        <w:t>15.93%</w:t>
      </w:r>
      <w:r>
        <w:rPr>
          <w:rFonts w:hint="eastAsia"/>
          <w:highlight w:val="none"/>
          <w:lang w:val="en-US" w:eastAsia="zh-CN"/>
        </w:rPr>
        <w:t>，</w:t>
      </w:r>
      <w:r>
        <w:rPr>
          <w:rFonts w:hint="eastAsia"/>
          <w:lang w:val="en-US" w:eastAsia="zh-CN"/>
        </w:rPr>
        <w:t>6-10份</w:t>
      </w:r>
      <w:r>
        <w:rPr>
          <w:rFonts w:hint="eastAsia"/>
          <w:highlight w:val="none"/>
          <w:lang w:val="en-US" w:eastAsia="zh-CN"/>
        </w:rPr>
        <w:t>的占比</w:t>
      </w:r>
      <w:r>
        <w:rPr>
          <w:rFonts w:hint="eastAsia"/>
          <w:lang w:val="en-US" w:eastAsia="zh-CN"/>
        </w:rPr>
        <w:t>15.46%</w:t>
      </w:r>
      <w:r>
        <w:rPr>
          <w:rFonts w:hint="eastAsia"/>
          <w:highlight w:val="none"/>
          <w:lang w:val="en-US" w:eastAsia="zh-CN"/>
        </w:rPr>
        <w:t>；另外有</w:t>
      </w:r>
      <w:r>
        <w:rPr>
          <w:rFonts w:hint="eastAsia"/>
          <w:lang w:val="en-US" w:eastAsia="zh-CN"/>
        </w:rPr>
        <w:t>5.84%</w:t>
      </w:r>
      <w:r>
        <w:rPr>
          <w:rFonts w:hint="eastAsia"/>
          <w:highlight w:val="none"/>
          <w:lang w:val="en-US" w:eastAsia="zh-CN"/>
        </w:rPr>
        <w:t>的毕业生</w:t>
      </w:r>
      <w:r>
        <w:rPr>
          <w:rFonts w:hint="eastAsia"/>
          <w:lang w:val="en-US" w:eastAsia="zh-CN"/>
        </w:rPr>
        <w:t>11-20份</w:t>
      </w:r>
      <w:r>
        <w:rPr>
          <w:rFonts w:hint="eastAsia"/>
          <w:highlight w:val="none"/>
          <w:lang w:val="en-US" w:eastAsia="zh-CN"/>
        </w:rPr>
        <w:t>，详见上图。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投递简历数</w:t>
      </w:r>
      <w:r>
        <w:rPr>
          <w:rFonts w:hint="eastAsia" w:ascii="宋体" w:hAnsi="宋体" w:eastAsia="宋体" w:cs="宋体"/>
          <w:kern w:val="2"/>
          <w:sz w:val="21"/>
          <w:szCs w:val="21"/>
          <w:lang w:val="en-US" w:eastAsia="zh-CN" w:bidi="ar-SA"/>
        </w:rPr>
        <w:t>学院分布情况表</w:t>
      </w:r>
    </w:p>
    <w:tbl>
      <w:tblPr>
        <w:tblStyle w:val="17"/>
        <w:tblW w:w="4997" w:type="pct"/>
        <w:jc w:val="center"/>
        <w:tblLayout w:type="autofit"/>
        <w:tblCellMar>
          <w:top w:w="15" w:type="dxa"/>
          <w:left w:w="15" w:type="dxa"/>
          <w:bottom w:w="15" w:type="dxa"/>
          <w:right w:w="15" w:type="dxa"/>
        </w:tblCellMar>
      </w:tblPr>
      <w:tblGrid>
        <w:gridCol w:w="2615"/>
        <w:gridCol w:w="1201"/>
        <w:gridCol w:w="1201"/>
        <w:gridCol w:w="1201"/>
        <w:gridCol w:w="1203"/>
        <w:gridCol w:w="1204"/>
      </w:tblGrid>
      <w:tr>
        <w:tblPrEx>
          <w:tblCellMar>
            <w:top w:w="15" w:type="dxa"/>
            <w:left w:w="15" w:type="dxa"/>
            <w:bottom w:w="15" w:type="dxa"/>
            <w:right w:w="15" w:type="dxa"/>
          </w:tblCellMar>
        </w:tblPrEx>
        <w:trPr>
          <w:trHeight w:val="567" w:hRule="atLeast"/>
          <w:jc w:val="center"/>
        </w:trPr>
        <w:tc>
          <w:tcPr>
            <w:tcW w:w="151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0份</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1-5份</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6-10份</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11-20份</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20份以上</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11.02%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50.79%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8.66%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13.39%</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13.56%</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40.68%</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23.73%</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51.85%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14.81%</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20.39%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50.49%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11.65%</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18.89%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8.89%</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2" w:name="_Toc16587"/>
      <w:bookmarkStart w:id="173" w:name="_Toc21711"/>
      <w:r>
        <w:rPr>
          <w:rFonts w:hint="eastAsia" w:asciiTheme="minorEastAsia" w:hAnsiTheme="minorEastAsia" w:eastAsiaTheme="minorEastAsia" w:cstheme="minorEastAsia"/>
          <w:b w:val="0"/>
          <w:bCs w:val="0"/>
          <w:lang w:val="en-US" w:eastAsia="zh-CN"/>
        </w:rPr>
        <w:t>求职过程中参加招聘会（含专场）的场次</w:t>
      </w:r>
      <w:bookmarkEnd w:id="172"/>
      <w:bookmarkEnd w:id="173"/>
    </w:p>
    <w:p>
      <w:pPr>
        <w:pStyle w:val="16"/>
        <w:rPr>
          <w:rFonts w:hint="eastAsia"/>
          <w:highlight w:val="none"/>
          <w:lang w:val="en-US" w:eastAsia="zh-CN"/>
        </w:rPr>
      </w:pPr>
      <w:r>
        <w:rPr>
          <w:rFonts w:hint="eastAsia"/>
          <w:highlight w:val="none"/>
          <w:lang w:val="en-US" w:eastAsia="zh-CN"/>
        </w:rPr>
        <w:t>调查数据显示，</w:t>
      </w:r>
      <w:r>
        <w:rPr>
          <w:rFonts w:hint="eastAsia" w:ascii="Times New Roman" w:hAnsi="Times New Roman" w:cs="Times New Roman"/>
          <w:sz w:val="24"/>
          <w:szCs w:val="24"/>
          <w:highlight w:val="none"/>
          <w:lang w:val="en-US" w:eastAsia="zh-CN"/>
        </w:rPr>
        <w:t>参加过</w:t>
      </w:r>
      <w:r>
        <w:rPr>
          <w:rFonts w:hint="eastAsia"/>
          <w:lang w:val="en-US" w:eastAsia="zh-CN"/>
        </w:rPr>
        <w:t>0（到目前为止，没有参加过）</w:t>
      </w:r>
      <w:r>
        <w:rPr>
          <w:rFonts w:hint="eastAsia" w:ascii="Times New Roman" w:hAnsi="Times New Roman" w:cs="Times New Roman"/>
          <w:sz w:val="24"/>
          <w:szCs w:val="24"/>
          <w:highlight w:val="none"/>
          <w:lang w:val="en-US" w:eastAsia="zh-CN"/>
        </w:rPr>
        <w:t>招聘会（含专场）有</w:t>
      </w:r>
      <w:r>
        <w:rPr>
          <w:rFonts w:hint="eastAsia"/>
          <w:lang w:val="en-US" w:eastAsia="zh-CN"/>
        </w:rPr>
        <w:t>56.78%</w:t>
      </w:r>
      <w:r>
        <w:rPr>
          <w:rFonts w:hint="eastAsia" w:ascii="Times New Roman" w:hAnsi="Times New Roman" w:cs="Times New Roman"/>
          <w:sz w:val="24"/>
          <w:szCs w:val="24"/>
          <w:highlight w:val="none"/>
          <w:lang w:val="en-US" w:eastAsia="zh-CN"/>
        </w:rPr>
        <w:t>的受调查毕业生，</w:t>
      </w:r>
      <w:r>
        <w:rPr>
          <w:rFonts w:hint="eastAsia"/>
          <w:lang w:val="en-US" w:eastAsia="zh-CN"/>
        </w:rPr>
        <w:t>2-5次</w:t>
      </w:r>
      <w:r>
        <w:rPr>
          <w:rFonts w:hint="eastAsia" w:ascii="Times New Roman" w:hAnsi="Times New Roman" w:cs="Times New Roman"/>
          <w:sz w:val="24"/>
          <w:szCs w:val="24"/>
          <w:highlight w:val="none"/>
          <w:lang w:val="en-US" w:eastAsia="zh-CN"/>
        </w:rPr>
        <w:t>的占比</w:t>
      </w:r>
      <w:r>
        <w:rPr>
          <w:rFonts w:hint="eastAsia"/>
          <w:lang w:val="en-US" w:eastAsia="zh-CN"/>
        </w:rPr>
        <w:t>20.98%</w:t>
      </w:r>
      <w:r>
        <w:rPr>
          <w:rFonts w:hint="eastAsia" w:ascii="Times New Roman" w:hAnsi="Times New Roman" w:cs="Times New Roman"/>
          <w:sz w:val="24"/>
          <w:szCs w:val="24"/>
          <w:highlight w:val="none"/>
          <w:lang w:val="en-US" w:eastAsia="zh-CN"/>
        </w:rPr>
        <w:t>，</w:t>
      </w:r>
      <w:r>
        <w:rPr>
          <w:rFonts w:hint="eastAsia"/>
          <w:lang w:val="en-US" w:eastAsia="zh-CN"/>
        </w:rPr>
        <w:t>1次</w:t>
      </w:r>
      <w:r>
        <w:rPr>
          <w:rFonts w:hint="eastAsia" w:ascii="Times New Roman" w:hAnsi="Times New Roman" w:cs="Times New Roman"/>
          <w:sz w:val="24"/>
          <w:szCs w:val="24"/>
          <w:highlight w:val="none"/>
          <w:lang w:val="en-US" w:eastAsia="zh-CN"/>
        </w:rPr>
        <w:t>的占比</w:t>
      </w:r>
      <w:r>
        <w:rPr>
          <w:rFonts w:hint="eastAsia"/>
          <w:lang w:val="en-US" w:eastAsia="zh-CN"/>
        </w:rPr>
        <w:t>16.88%</w:t>
      </w:r>
      <w:r>
        <w:rPr>
          <w:rFonts w:hint="eastAsia" w:ascii="Times New Roman" w:hAnsi="Times New Roman" w:cs="Times New Roman"/>
          <w:sz w:val="24"/>
          <w:szCs w:val="24"/>
          <w:highlight w:val="none"/>
          <w:lang w:val="en-US" w:eastAsia="zh-CN"/>
        </w:rPr>
        <w:t>，</w:t>
      </w:r>
      <w:r>
        <w:rPr>
          <w:rFonts w:hint="eastAsia"/>
          <w:lang w:val="en-US" w:eastAsia="zh-CN"/>
        </w:rPr>
        <w:t>10次以上</w:t>
      </w:r>
      <w:r>
        <w:rPr>
          <w:rFonts w:hint="eastAsia" w:ascii="Times New Roman" w:hAnsi="Times New Roman" w:cs="Times New Roman"/>
          <w:sz w:val="24"/>
          <w:szCs w:val="24"/>
          <w:highlight w:val="none"/>
          <w:lang w:val="en-US" w:eastAsia="zh-CN"/>
        </w:rPr>
        <w:t>的占比</w:t>
      </w:r>
      <w:r>
        <w:rPr>
          <w:rFonts w:hint="eastAsia"/>
          <w:lang w:val="en-US" w:eastAsia="zh-CN"/>
        </w:rPr>
        <w:t>2.68%</w:t>
      </w:r>
      <w:r>
        <w:rPr>
          <w:rFonts w:hint="eastAsia" w:ascii="Times New Roman" w:hAnsi="Times New Roman" w:cs="Times New Roman"/>
          <w:sz w:val="24"/>
          <w:szCs w:val="24"/>
          <w:highlight w:val="none"/>
          <w:lang w:val="en-US" w:eastAsia="zh-CN"/>
        </w:rPr>
        <w:t>，</w:t>
      </w:r>
      <w:r>
        <w:rPr>
          <w:rFonts w:hint="eastAsia"/>
          <w:lang w:val="en-US" w:eastAsia="zh-CN"/>
        </w:rPr>
        <w:t>6-10次</w:t>
      </w:r>
      <w:r>
        <w:rPr>
          <w:rFonts w:hint="eastAsia" w:ascii="Times New Roman" w:hAnsi="Times New Roman" w:cs="Times New Roman"/>
          <w:sz w:val="24"/>
          <w:szCs w:val="24"/>
          <w:highlight w:val="none"/>
          <w:lang w:val="en-US" w:eastAsia="zh-CN"/>
        </w:rPr>
        <w:t>的占比</w:t>
      </w:r>
      <w:r>
        <w:rPr>
          <w:rFonts w:hint="eastAsia"/>
          <w:lang w:val="en-US" w:eastAsia="zh-CN"/>
        </w:rPr>
        <w:t>2.68%。</w:t>
      </w:r>
      <w:r>
        <w:rPr>
          <w:rFonts w:hint="eastAsia"/>
          <w:highlight w:val="none"/>
          <w:lang w:val="en-US" w:eastAsia="zh-CN"/>
        </w:rPr>
        <w:t>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39" name="图表 39" descr="求职过程中参加招聘会（含专场）的场次" title="${chart-1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求职过程中参加招聘会（含专场）的场次</w:t>
      </w:r>
    </w:p>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4" w:name="_Toc25819"/>
      <w:bookmarkStart w:id="175" w:name="_Toc31153"/>
      <w:r>
        <w:rPr>
          <w:rFonts w:hint="eastAsia" w:asciiTheme="minorEastAsia" w:hAnsiTheme="minorEastAsia" w:eastAsiaTheme="minorEastAsia" w:cstheme="minorEastAsia"/>
          <w:b w:val="0"/>
          <w:bCs w:val="0"/>
          <w:lang w:val="en-US" w:eastAsia="zh-CN"/>
        </w:rPr>
        <w:t>求职过程中面试过的用人单位数量</w:t>
      </w:r>
      <w:bookmarkEnd w:id="174"/>
      <w:bookmarkEnd w:id="175"/>
    </w:p>
    <w:p>
      <w:pPr>
        <w:bidi w:val="0"/>
        <w:jc w:val="left"/>
        <w:rPr>
          <w:rFonts w:hint="eastAsia"/>
          <w:lang w:val="en-US" w:eastAsia="zh-CN"/>
        </w:rPr>
      </w:pPr>
      <w:r>
        <w:rPr>
          <w:rFonts w:hint="eastAsia"/>
          <w:lang w:val="en-US" w:eastAsia="zh-CN"/>
        </w:rPr>
        <w:t>调查数据显示，参加面试过的用人单位数量是2-5个</w:t>
      </w:r>
      <w:r>
        <w:rPr>
          <w:rFonts w:hint="eastAsia" w:ascii="Times New Roman" w:hAnsi="Times New Roman" w:cs="Times New Roman"/>
          <w:sz w:val="24"/>
          <w:szCs w:val="24"/>
          <w:highlight w:val="none"/>
          <w:lang w:val="en-US" w:eastAsia="zh-CN"/>
        </w:rPr>
        <w:t>的占比</w:t>
      </w:r>
      <w:r>
        <w:rPr>
          <w:rFonts w:hint="eastAsia"/>
          <w:lang w:val="en-US" w:eastAsia="zh-CN"/>
        </w:rPr>
        <w:t>40.69%</w:t>
      </w:r>
      <w:r>
        <w:rPr>
          <w:rFonts w:hint="eastAsia" w:ascii="Times New Roman" w:hAnsi="Times New Roman" w:cs="Times New Roman"/>
          <w:sz w:val="24"/>
          <w:szCs w:val="24"/>
          <w:highlight w:val="none"/>
          <w:lang w:val="en-US" w:eastAsia="zh-CN"/>
        </w:rPr>
        <w:t>，</w:t>
      </w:r>
      <w:r>
        <w:rPr>
          <w:rFonts w:hint="eastAsia"/>
          <w:lang w:val="en-US" w:eastAsia="zh-CN"/>
        </w:rPr>
        <w:t>1个</w:t>
      </w:r>
      <w:r>
        <w:rPr>
          <w:rFonts w:hint="eastAsia" w:ascii="Times New Roman" w:hAnsi="Times New Roman" w:cs="Times New Roman"/>
          <w:sz w:val="24"/>
          <w:szCs w:val="24"/>
          <w:highlight w:val="none"/>
          <w:lang w:val="en-US" w:eastAsia="zh-CN"/>
        </w:rPr>
        <w:t>的占比</w:t>
      </w:r>
      <w:r>
        <w:rPr>
          <w:rFonts w:hint="eastAsia"/>
          <w:lang w:val="en-US" w:eastAsia="zh-CN"/>
        </w:rPr>
        <w:t>21.29%</w:t>
      </w:r>
      <w:r>
        <w:rPr>
          <w:rFonts w:hint="eastAsia" w:ascii="Times New Roman" w:hAnsi="Times New Roman" w:cs="Times New Roman"/>
          <w:sz w:val="24"/>
          <w:szCs w:val="24"/>
          <w:highlight w:val="none"/>
          <w:lang w:val="en-US" w:eastAsia="zh-CN"/>
        </w:rPr>
        <w:t>，</w:t>
      </w:r>
      <w:r>
        <w:rPr>
          <w:rFonts w:hint="eastAsia"/>
          <w:lang w:val="en-US" w:eastAsia="zh-CN"/>
        </w:rPr>
        <w:t>0（到目前为止，没有面试过）</w:t>
      </w:r>
      <w:r>
        <w:rPr>
          <w:rFonts w:hint="eastAsia" w:ascii="Times New Roman" w:hAnsi="Times New Roman" w:cs="Times New Roman"/>
          <w:sz w:val="24"/>
          <w:szCs w:val="24"/>
          <w:highlight w:val="none"/>
          <w:lang w:val="en-US" w:eastAsia="zh-CN"/>
        </w:rPr>
        <w:t>的占比</w:t>
      </w:r>
      <w:r>
        <w:rPr>
          <w:rFonts w:hint="eastAsia"/>
          <w:lang w:val="en-US" w:eastAsia="zh-CN"/>
        </w:rPr>
        <w:t>17.35%</w:t>
      </w:r>
      <w:r>
        <w:rPr>
          <w:rFonts w:hint="eastAsia" w:ascii="Times New Roman" w:hAnsi="Times New Roman" w:cs="Times New Roman"/>
          <w:sz w:val="24"/>
          <w:szCs w:val="24"/>
          <w:highlight w:val="none"/>
          <w:lang w:val="en-US" w:eastAsia="zh-CN"/>
        </w:rPr>
        <w:t>，</w:t>
      </w:r>
      <w:r>
        <w:rPr>
          <w:rFonts w:hint="eastAsia"/>
          <w:lang w:val="en-US" w:eastAsia="zh-CN"/>
        </w:rPr>
        <w:t>6-10个</w:t>
      </w:r>
      <w:r>
        <w:rPr>
          <w:rFonts w:hint="eastAsia" w:ascii="Times New Roman" w:hAnsi="Times New Roman" w:cs="Times New Roman"/>
          <w:sz w:val="24"/>
          <w:szCs w:val="24"/>
          <w:highlight w:val="none"/>
          <w:lang w:val="en-US" w:eastAsia="zh-CN"/>
        </w:rPr>
        <w:t>的占比</w:t>
      </w:r>
      <w:r>
        <w:rPr>
          <w:rFonts w:hint="eastAsia"/>
          <w:lang w:val="en-US" w:eastAsia="zh-CN"/>
        </w:rPr>
        <w:t>10.41%</w:t>
      </w:r>
      <w:r>
        <w:rPr>
          <w:rFonts w:hint="eastAsia" w:ascii="Times New Roman" w:hAnsi="Times New Roman" w:cs="Times New Roman"/>
          <w:sz w:val="24"/>
          <w:szCs w:val="24"/>
          <w:highlight w:val="none"/>
          <w:lang w:val="en-US" w:eastAsia="zh-CN"/>
        </w:rPr>
        <w:t>，</w:t>
      </w:r>
      <w:r>
        <w:rPr>
          <w:rFonts w:hint="eastAsia"/>
          <w:lang w:val="en-US" w:eastAsia="zh-CN"/>
        </w:rPr>
        <w:t>10个以上</w:t>
      </w:r>
      <w:r>
        <w:rPr>
          <w:rFonts w:hint="eastAsia" w:ascii="Times New Roman" w:hAnsi="Times New Roman" w:cs="Times New Roman"/>
          <w:sz w:val="24"/>
          <w:szCs w:val="24"/>
          <w:highlight w:val="none"/>
          <w:lang w:val="en-US" w:eastAsia="zh-CN"/>
        </w:rPr>
        <w:t>的占比</w:t>
      </w:r>
      <w:r>
        <w:rPr>
          <w:rFonts w:hint="eastAsia"/>
          <w:lang w:val="en-US" w:eastAsia="zh-CN"/>
        </w:rPr>
        <w:t>10.25%。详见下图。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40" name="图表 40" descr="求职过程中您面试过的用人单位数量" title="${chart-1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求职过程中面试过的用人单位数量</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6" w:name="_Toc22432"/>
      <w:bookmarkStart w:id="177" w:name="_Toc20829"/>
      <w:r>
        <w:rPr>
          <w:rFonts w:hint="eastAsia" w:asciiTheme="minorEastAsia" w:hAnsiTheme="minorEastAsia" w:eastAsiaTheme="minorEastAsia" w:cstheme="minorEastAsia"/>
          <w:b w:val="0"/>
          <w:bCs w:val="0"/>
          <w:lang w:val="en-US" w:eastAsia="zh-CN"/>
        </w:rPr>
        <w:t>求职过程中拿到的录取通知数</w:t>
      </w:r>
      <w:bookmarkEnd w:id="176"/>
      <w:bookmarkEnd w:id="177"/>
    </w:p>
    <w:p>
      <w:pPr>
        <w:bidi w:val="0"/>
        <w:jc w:val="left"/>
        <w:rPr>
          <w:rFonts w:hint="eastAsia"/>
          <w:lang w:val="en-US" w:eastAsia="zh-CN"/>
        </w:rPr>
      </w:pPr>
      <w:r>
        <w:rPr>
          <w:rFonts w:hint="eastAsia"/>
          <w:lang w:val="en-US" w:eastAsia="zh-CN"/>
        </w:rPr>
        <w:t>调查数据显示，拿到的录取通知数1个的占比29.97%，2个的占比22.71%，0（到目前为止，还没有收到Offer）的占比20.19%，3个以上的占比16.40%，3个的占比10.73%。详见下图。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49" name="图表 49" descr="7b0a202020202263686172745265734964223a20223230343733343032220a7d0a" title="${chart-1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求职过程中拿到的offer（录取通知）数</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拿到录用通知数</w:t>
      </w:r>
      <w:r>
        <w:rPr>
          <w:rFonts w:hint="eastAsia" w:ascii="宋体" w:hAnsi="宋体" w:eastAsia="宋体" w:cs="宋体"/>
          <w:kern w:val="2"/>
          <w:sz w:val="21"/>
          <w:szCs w:val="21"/>
          <w:lang w:val="en-US" w:eastAsia="zh-CN" w:bidi="ar-SA"/>
        </w:rPr>
        <w:t>学院分布情况表</w:t>
      </w:r>
    </w:p>
    <w:tbl>
      <w:tblPr>
        <w:tblStyle w:val="17"/>
        <w:tblW w:w="4997" w:type="pct"/>
        <w:jc w:val="center"/>
        <w:tblLayout w:type="autofit"/>
        <w:tblCellMar>
          <w:top w:w="15" w:type="dxa"/>
          <w:left w:w="15" w:type="dxa"/>
          <w:bottom w:w="15" w:type="dxa"/>
          <w:right w:w="15" w:type="dxa"/>
        </w:tblCellMar>
      </w:tblPr>
      <w:tblGrid>
        <w:gridCol w:w="2615"/>
        <w:gridCol w:w="1201"/>
        <w:gridCol w:w="1201"/>
        <w:gridCol w:w="1201"/>
        <w:gridCol w:w="1203"/>
        <w:gridCol w:w="1204"/>
      </w:tblGrid>
      <w:tr>
        <w:tblPrEx>
          <w:tblCellMar>
            <w:top w:w="15" w:type="dxa"/>
            <w:left w:w="15" w:type="dxa"/>
            <w:bottom w:w="15" w:type="dxa"/>
            <w:right w:w="15" w:type="dxa"/>
          </w:tblCellMar>
        </w:tblPrEx>
        <w:trPr>
          <w:trHeight w:val="567" w:hRule="atLeast"/>
          <w:jc w:val="center"/>
        </w:trPr>
        <w:tc>
          <w:tcPr>
            <w:tcW w:w="151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0个</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1个</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2个</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3个</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3个以上</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12.99%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32.68%</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25.20%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17.72%</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15.25%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18.64%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15.25%</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40.74%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14.81%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14.81%</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12.62%</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23.33%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31.11%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16.67%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17.78%</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8" w:name="_Toc9888"/>
      <w:bookmarkStart w:id="179" w:name="_Toc29973"/>
      <w:r>
        <w:rPr>
          <w:rFonts w:hint="eastAsia" w:asciiTheme="minorEastAsia" w:hAnsiTheme="minorEastAsia" w:eastAsiaTheme="minorEastAsia" w:cstheme="minorEastAsia"/>
          <w:b w:val="0"/>
          <w:bCs w:val="0"/>
          <w:lang w:val="en-US" w:eastAsia="zh-CN"/>
        </w:rPr>
        <w:t>求职成本</w:t>
      </w:r>
      <w:bookmarkEnd w:id="178"/>
      <w:bookmarkEnd w:id="179"/>
    </w:p>
    <w:p>
      <w:pPr>
        <w:bidi w:val="0"/>
        <w:jc w:val="left"/>
        <w:rPr>
          <w:rFonts w:hint="eastAsia"/>
          <w:lang w:val="en-US" w:eastAsia="zh-CN"/>
        </w:rPr>
      </w:pPr>
      <w:r>
        <w:rPr>
          <w:rFonts w:hint="eastAsia"/>
          <w:lang w:val="en-US" w:eastAsia="zh-CN"/>
        </w:rPr>
        <w:t>求职成本仅指参加校外招聘会的交通及住宿费用。调查数据显示，45.74%的受调查毕业生花费1000元内，1000-2000元内的也只有22.71%，毕业生求职成本低，也侧面反映学校内提供的就业信息，有效的解决毕业生的求职问题。详见下图。</w:t>
      </w:r>
    </w:p>
    <w:p>
      <w:pPr>
        <w:pStyle w:val="16"/>
        <w:ind w:left="0" w:leftChars="0" w:firstLine="0" w:firstLineChars="0"/>
        <w:jc w:val="center"/>
        <w:rPr>
          <w:rFonts w:hint="default"/>
          <w:sz w:val="24"/>
          <w:lang w:val="en-US"/>
        </w:rPr>
      </w:pPr>
      <w:r>
        <w:rPr>
          <w:rFonts w:hint="eastAsia" w:eastAsia="宋体"/>
          <w:lang w:eastAsia="zh-CN"/>
        </w:rPr>
        <w:drawing>
          <wp:inline distT="0" distB="0" distL="114300" distR="114300">
            <wp:extent cx="5455920" cy="2660015"/>
            <wp:effectExtent l="0" t="0" r="6350" b="6350"/>
            <wp:docPr id="28" name="图表 28" descr="您的求职成本（仅指参加校外招聘会的交通及住宿费用）" title="${chart-1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hAnsi="宋体" w:cs="宋体"/>
          <w:kern w:val="2"/>
          <w:sz w:val="21"/>
          <w:szCs w:val="21"/>
          <w:lang w:val="en-US" w:eastAsia="zh-CN" w:bidi="ar-SA"/>
        </w:rPr>
        <w:t>图 求职成本</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0" w:name="_Toc20645"/>
      <w:bookmarkStart w:id="181" w:name="_Toc14120"/>
      <w:r>
        <w:rPr>
          <w:rFonts w:hint="eastAsia" w:asciiTheme="minorEastAsia" w:hAnsiTheme="minorEastAsia" w:eastAsiaTheme="minorEastAsia" w:cstheme="minorEastAsia"/>
          <w:b w:val="0"/>
          <w:bCs w:val="0"/>
          <w:lang w:val="en-US" w:eastAsia="zh-CN"/>
        </w:rPr>
        <w:t>求职时长（从开始找工作到拿到第一份录取通知）</w:t>
      </w:r>
      <w:bookmarkEnd w:id="180"/>
      <w:bookmarkEnd w:id="181"/>
    </w:p>
    <w:p>
      <w:pPr>
        <w:bidi w:val="0"/>
        <w:jc w:val="left"/>
        <w:rPr>
          <w:rFonts w:hint="eastAsia"/>
          <w:lang w:val="en-US" w:eastAsia="zh-CN"/>
        </w:rPr>
      </w:pPr>
      <w:r>
        <w:rPr>
          <w:rFonts w:hint="eastAsia"/>
          <w:lang w:val="en-US" w:eastAsia="zh-CN"/>
        </w:rPr>
        <w:t>调查数据显示，92.74%的已落实就业单位的毕业生在3个月内从开始找工作到拿到第一份录取通知，其中有64.20%的已落实就业单位的毕业生在一个月内拿到录用通知，毕业生求职效率高。详见下图。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3" name="图表 53" descr="您的求职时长（从开始找工作到拿到第一份录取通知）" title="${chart-1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求职时长（从开始找工作到拿到第一份录取通知）</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2" w:name="_Toc8834"/>
      <w:bookmarkStart w:id="183" w:name="_Toc9512"/>
      <w:r>
        <w:rPr>
          <w:rFonts w:hint="eastAsia" w:asciiTheme="minorEastAsia" w:hAnsiTheme="minorEastAsia" w:eastAsiaTheme="minorEastAsia" w:cstheme="minorEastAsia"/>
          <w:b w:val="0"/>
          <w:bCs w:val="0"/>
          <w:lang w:val="en-US" w:eastAsia="zh-CN"/>
        </w:rPr>
        <w:t>在确定工作单位时最重视的因素有哪些</w:t>
      </w:r>
      <w:bookmarkEnd w:id="182"/>
      <w:bookmarkEnd w:id="183"/>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4748530"/>
            <wp:effectExtent l="0" t="0" r="6350" b="1270"/>
            <wp:docPr id="111" name="图表 111" descr="您在确定工作单位时最重视的因素有哪些（可多选，限选3项）" title="${chart-1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在确定工作单位时最重视的因素有哪些</w:t>
      </w:r>
    </w:p>
    <w:p>
      <w:pPr>
        <w:bidi w:val="0"/>
        <w:jc w:val="left"/>
        <w:rPr>
          <w:rFonts w:hint="eastAsia"/>
          <w:lang w:val="en-US" w:eastAsia="zh-CN"/>
        </w:rPr>
      </w:pPr>
      <w:r>
        <w:rPr>
          <w:rFonts w:hint="eastAsia"/>
          <w:lang w:val="en-US" w:eastAsia="zh-CN"/>
        </w:rPr>
        <w:t>调查数据显示，地理位置(经济状况(经济发展水平)、离家距离、大城市(城市规模)等)、个人发展前景、行业前景、薪资福利和工作稳定性是毕业确定工作单位时最重视的因素。详见下图。</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4" w:name="_Toc29648"/>
      <w:bookmarkStart w:id="185" w:name="_Toc5428"/>
      <w:r>
        <w:rPr>
          <w:rFonts w:hint="eastAsia" w:asciiTheme="minorEastAsia" w:hAnsiTheme="minorEastAsia" w:eastAsiaTheme="minorEastAsia" w:cstheme="minorEastAsia"/>
          <w:b w:val="0"/>
          <w:bCs w:val="0"/>
          <w:lang w:val="en-US" w:eastAsia="zh-CN"/>
        </w:rPr>
        <w:t>在求职的过程中，最具竞争力的方面是</w:t>
      </w:r>
      <w:bookmarkEnd w:id="184"/>
      <w:bookmarkEnd w:id="185"/>
    </w:p>
    <w:p>
      <w:pPr>
        <w:bidi w:val="0"/>
        <w:jc w:val="left"/>
        <w:rPr>
          <w:rFonts w:hint="eastAsia"/>
          <w:lang w:val="en-US" w:eastAsia="zh-CN"/>
        </w:rPr>
      </w:pPr>
      <w:r>
        <w:rPr>
          <w:rFonts w:hint="eastAsia"/>
          <w:lang w:val="en-US" w:eastAsia="zh-CN"/>
        </w:rPr>
        <w:t>调查数据显示，毕业生认为最具竞争力的方面是实习实践经历占比50.16%，其次是专业知识水平占比35.49%和学科专业优势占比31.07%，学校知名度占比22.24%，详见下图。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6026150"/>
            <wp:effectExtent l="0" t="0" r="6350" b="8255"/>
            <wp:docPr id="112" name="图表 112" descr="您觉得自己在求职的过程中，最具竞争力的方面是（可多选，限选3项）" title="${chart-1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在求职的过程中，最具竞争力的方面是</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6" w:name="_Toc623"/>
      <w:bookmarkStart w:id="187" w:name="_Toc6025"/>
      <w:r>
        <w:rPr>
          <w:rFonts w:hint="eastAsia" w:asciiTheme="minorEastAsia" w:hAnsiTheme="minorEastAsia" w:eastAsiaTheme="minorEastAsia" w:cstheme="minorEastAsia"/>
          <w:b w:val="0"/>
          <w:bCs w:val="0"/>
          <w:lang w:val="en-US" w:eastAsia="zh-CN"/>
        </w:rPr>
        <w:t>在求职过程中遇到的主要困难或劣势</w:t>
      </w:r>
      <w:bookmarkEnd w:id="186"/>
      <w:bookmarkEnd w:id="187"/>
    </w:p>
    <w:p>
      <w:pPr>
        <w:bidi w:val="0"/>
        <w:jc w:val="left"/>
        <w:rPr>
          <w:rFonts w:hint="default"/>
          <w:lang w:val="en-US" w:eastAsia="zh-CN"/>
        </w:rPr>
      </w:pPr>
      <w:r>
        <w:rPr>
          <w:rFonts w:hint="eastAsia"/>
          <w:lang w:val="en-US" w:eastAsia="zh-CN"/>
        </w:rPr>
        <w:t>调查数据显示，毕业生认为缺乏实践经验占比46.21%，其次是适合自己的招聘职位太少占比33.60%，然后有29.65%的认为是专业知识与能力不足。有11.20%的毕业生不知道什么工作适合自己，学校需要加强毕业生职业生涯规则指导，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5309870"/>
            <wp:effectExtent l="0" t="0" r="6350" b="1270"/>
            <wp:docPr id="113" name="图表 113" descr="您在求职过程中遇到的主要困难或劣势是（可多选，限选3项）" title="${chart-1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在求职过程中遇到的主要困难或劣势</w:t>
      </w:r>
    </w:p>
    <w:p>
      <w:pPr>
        <w:pStyle w:val="3"/>
        <w:numPr>
          <w:ilvl w:val="0"/>
          <w:numId w:val="6"/>
        </w:numPr>
        <w:bidi w:val="0"/>
        <w:rPr>
          <w:rFonts w:hint="eastAsia"/>
          <w:lang w:val="en-US" w:eastAsia="zh-CN"/>
        </w:rPr>
      </w:pPr>
      <w:bookmarkStart w:id="188" w:name="_Toc27072"/>
      <w:bookmarkStart w:id="189" w:name="_Toc8983"/>
      <w:bookmarkStart w:id="190" w:name="_Toc12351"/>
      <w:bookmarkStart w:id="191" w:name="_Toc4228"/>
      <w:r>
        <w:rPr>
          <w:rFonts w:hint="eastAsia"/>
          <w:lang w:val="en-US" w:eastAsia="zh-CN"/>
        </w:rPr>
        <w:t>毕业生就职分析</w:t>
      </w:r>
      <w:bookmarkEnd w:id="188"/>
      <w:bookmarkEnd w:id="189"/>
      <w:bookmarkEnd w:id="190"/>
      <w:bookmarkEnd w:id="191"/>
    </w:p>
    <w:p>
      <w:pPr>
        <w:bidi w:val="0"/>
        <w:jc w:val="left"/>
        <w:rPr>
          <w:rFonts w:hint="eastAsia"/>
          <w:lang w:val="en-US" w:eastAsia="zh-CN"/>
        </w:rPr>
      </w:pPr>
      <w:r>
        <w:rPr>
          <w:rFonts w:hint="eastAsia"/>
          <w:lang w:val="en-US" w:eastAsia="zh-CN"/>
        </w:rPr>
        <w:t>在参与调查的毕业生共有479名已落实就业工作。</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2" w:name="_Toc428"/>
      <w:bookmarkStart w:id="193" w:name="_Toc13863"/>
      <w:r>
        <w:rPr>
          <w:rFonts w:hint="eastAsia" w:asciiTheme="minorEastAsia" w:hAnsiTheme="minorEastAsia" w:eastAsiaTheme="minorEastAsia" w:cstheme="minorEastAsia"/>
          <w:b w:val="0"/>
          <w:bCs w:val="0"/>
          <w:lang w:val="en-US" w:eastAsia="zh-CN"/>
        </w:rPr>
        <w:t>求职成功的最终渠道是</w:t>
      </w:r>
      <w:bookmarkEnd w:id="192"/>
      <w:bookmarkEnd w:id="193"/>
    </w:p>
    <w:p>
      <w:pPr>
        <w:bidi w:val="0"/>
        <w:jc w:val="left"/>
        <w:rPr>
          <w:rFonts w:hint="eastAsia"/>
          <w:lang w:val="en-US" w:eastAsia="zh-CN"/>
        </w:rPr>
      </w:pPr>
      <w:r>
        <w:rPr>
          <w:rFonts w:hint="eastAsia"/>
          <w:lang w:val="en-US" w:eastAsia="zh-CN"/>
        </w:rPr>
        <w:t>根据调查统计显示，有25.89%已落实就业单位毕业生的通过其他获得工作，亲友推荐有22.55%的已落实就业单位毕业生，这和毕业生的求职渠道基本保持一致。排列第三的是社会化专业求职网站占比18.37%。详见下图。</w:t>
      </w:r>
    </w:p>
    <w:p>
      <w:pPr>
        <w:pStyle w:val="16"/>
        <w:rPr>
          <w:rFonts w:hint="eastAsia"/>
          <w:lang w:val="en-US" w:eastAsia="zh-CN"/>
        </w:rPr>
      </w:pP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114" name="图表 114" descr="您求职成功的最终渠道是" title="${chart-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求职成功的最终渠道是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4" w:name="_Toc26480"/>
      <w:bookmarkStart w:id="195" w:name="_Toc1319"/>
      <w:r>
        <w:rPr>
          <w:rFonts w:hint="eastAsia" w:asciiTheme="minorEastAsia" w:hAnsiTheme="minorEastAsia" w:eastAsiaTheme="minorEastAsia" w:cstheme="minorEastAsia"/>
          <w:b w:val="0"/>
          <w:bCs w:val="0"/>
          <w:lang w:val="en-US" w:eastAsia="zh-CN"/>
        </w:rPr>
        <w:t>目前的签约工作单位是</w:t>
      </w:r>
      <w:bookmarkEnd w:id="194"/>
      <w:bookmarkEnd w:id="195"/>
    </w:p>
    <w:p>
      <w:pPr>
        <w:bidi w:val="0"/>
        <w:jc w:val="left"/>
        <w:rPr>
          <w:rFonts w:hint="eastAsia"/>
          <w:lang w:val="en-US" w:eastAsia="zh-CN"/>
        </w:rPr>
      </w:pPr>
      <w:r>
        <w:rPr>
          <w:rFonts w:hint="eastAsia"/>
          <w:lang w:val="en-US" w:eastAsia="zh-CN"/>
        </w:rPr>
        <w:t>调查数据显示，有40.50%的毕业生选择在其他就业，然后是民营企业占比33.82%，选择事业单位就业占10.65%。详见下图。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381375"/>
            <wp:effectExtent l="0" t="0" r="6350" b="8255"/>
            <wp:docPr id="29" name="图表 29" descr="目前的签约工作单位是" title="${chart-1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目前的签约工作单位是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6" w:name="_Toc29731"/>
      <w:bookmarkStart w:id="197" w:name="_Toc30583"/>
      <w:r>
        <w:rPr>
          <w:rFonts w:hint="eastAsia" w:asciiTheme="minorEastAsia" w:hAnsiTheme="minorEastAsia" w:eastAsiaTheme="minorEastAsia" w:cstheme="minorEastAsia"/>
          <w:b w:val="0"/>
          <w:bCs w:val="0"/>
          <w:lang w:val="en-US" w:eastAsia="zh-CN"/>
        </w:rPr>
        <w:t>目前签约的工作地区是</w:t>
      </w:r>
      <w:bookmarkEnd w:id="196"/>
      <w:bookmarkEnd w:id="197"/>
    </w:p>
    <w:p>
      <w:pPr>
        <w:bidi w:val="0"/>
        <w:jc w:val="left"/>
        <w:rPr>
          <w:rFonts w:hint="eastAsia"/>
          <w:lang w:val="en-US" w:eastAsia="zh-CN"/>
        </w:rPr>
      </w:pPr>
      <w:r>
        <w:rPr>
          <w:rFonts w:hint="eastAsia"/>
          <w:lang w:val="en-US" w:eastAsia="zh-CN"/>
        </w:rPr>
        <w:t>调查数据显示，有44.68%的毕业生选择在合肥市工作，这是毕业生的就业期望工作地是一致的，其次是安徽省内其他地市占比44.68%，排名第三的是长三角(除皖)经济圈（上海+江苏+浙江），占比12.11%。详见下图。</w:t>
      </w:r>
    </w:p>
    <w:p>
      <w:pPr>
        <w:bidi w:val="0"/>
        <w:ind w:left="0" w:leftChars="0" w:firstLine="0" w:firstLineChars="0"/>
        <w:jc w:val="left"/>
        <w:rPr>
          <w:rFonts w:hint="eastAsia"/>
          <w:lang w:val="en-US" w:eastAsia="zh-CN"/>
        </w:rPr>
      </w:pPr>
      <w:r>
        <w:rPr>
          <w:rFonts w:hint="eastAsia" w:eastAsia="宋体"/>
          <w:lang w:eastAsia="zh-CN"/>
        </w:rPr>
        <w:drawing>
          <wp:inline distT="0" distB="0" distL="114300" distR="114300">
            <wp:extent cx="5455920" cy="3061970"/>
            <wp:effectExtent l="0" t="0" r="6350" b="3810"/>
            <wp:docPr id="31" name="图表 31" descr="您目前签约的工作地区是" title="${chart-1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目前签约的工作地区是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8" w:name="_Toc21545"/>
      <w:bookmarkStart w:id="199" w:name="_Toc22740"/>
      <w:r>
        <w:rPr>
          <w:rFonts w:hint="eastAsia" w:asciiTheme="minorEastAsia" w:hAnsiTheme="minorEastAsia" w:eastAsiaTheme="minorEastAsia" w:cstheme="minorEastAsia"/>
          <w:b w:val="0"/>
          <w:bCs w:val="0"/>
          <w:lang w:val="en-US" w:eastAsia="zh-CN"/>
        </w:rPr>
        <w:t>目前签约的工作地是</w:t>
      </w:r>
      <w:bookmarkEnd w:id="198"/>
      <w:bookmarkEnd w:id="199"/>
    </w:p>
    <w:p>
      <w:pPr>
        <w:bidi w:val="0"/>
        <w:jc w:val="left"/>
        <w:rPr>
          <w:rFonts w:hint="eastAsia"/>
          <w:lang w:val="en-US" w:eastAsia="zh-CN"/>
        </w:rPr>
      </w:pPr>
      <w:r>
        <w:rPr>
          <w:rFonts w:hint="eastAsia"/>
          <w:lang w:val="en-US" w:eastAsia="zh-CN"/>
        </w:rPr>
        <w:t>调查数据显示，有33.40%的毕业生</w:t>
      </w:r>
      <w:r>
        <w:rPr>
          <w:rFonts w:hint="eastAsia" w:asciiTheme="minorEastAsia" w:hAnsiTheme="minorEastAsia" w:eastAsiaTheme="minorEastAsia" w:cstheme="minorEastAsia"/>
          <w:b w:val="0"/>
          <w:bCs w:val="0"/>
          <w:lang w:val="en-US" w:eastAsia="zh-CN"/>
        </w:rPr>
        <w:t>签约的工作地是</w:t>
      </w:r>
      <w:r>
        <w:rPr>
          <w:rFonts w:hint="eastAsia"/>
          <w:lang w:val="en-US" w:eastAsia="zh-CN"/>
        </w:rPr>
        <w:t>母校所在地，30.27%的毕业生</w:t>
      </w:r>
      <w:r>
        <w:rPr>
          <w:rFonts w:hint="eastAsia" w:asciiTheme="minorEastAsia" w:hAnsiTheme="minorEastAsia" w:eastAsiaTheme="minorEastAsia" w:cstheme="minorEastAsia"/>
          <w:b w:val="0"/>
          <w:bCs w:val="0"/>
          <w:lang w:val="en-US" w:eastAsia="zh-CN"/>
        </w:rPr>
        <w:t>签约的工作地是</w:t>
      </w:r>
      <w:r>
        <w:rPr>
          <w:rFonts w:hint="eastAsia"/>
          <w:lang w:val="en-US" w:eastAsia="zh-CN"/>
        </w:rPr>
        <w:t>其他地区，26.51%的毕业生</w:t>
      </w:r>
      <w:r>
        <w:rPr>
          <w:rFonts w:hint="eastAsia" w:asciiTheme="minorEastAsia" w:hAnsiTheme="minorEastAsia" w:eastAsiaTheme="minorEastAsia" w:cstheme="minorEastAsia"/>
          <w:b w:val="0"/>
          <w:bCs w:val="0"/>
          <w:lang w:val="en-US" w:eastAsia="zh-CN"/>
        </w:rPr>
        <w:t>签约的工作地是</w:t>
      </w:r>
      <w:r>
        <w:rPr>
          <w:rFonts w:hint="eastAsia"/>
          <w:lang w:val="en-US" w:eastAsia="zh-CN"/>
        </w:rPr>
        <w:t>生源所在地。详见下图。</w:t>
      </w:r>
    </w:p>
    <w:p>
      <w:pPr>
        <w:bidi w:val="0"/>
        <w:ind w:left="0" w:leftChars="0" w:firstLine="0" w:firstLineChars="0"/>
        <w:jc w:val="left"/>
        <w:rPr>
          <w:rFonts w:hint="eastAsia"/>
          <w:lang w:val="en-US" w:eastAsia="zh-CN"/>
        </w:rPr>
      </w:pPr>
      <w:r>
        <w:rPr>
          <w:rFonts w:hint="eastAsia"/>
          <w:lang w:val="en-US" w:eastAsia="zh-CN"/>
        </w:rPr>
        <w:drawing>
          <wp:inline distT="0" distB="0" distL="114300" distR="114300">
            <wp:extent cx="5445760" cy="2673350"/>
            <wp:effectExtent l="0" t="0" r="5715" b="3810"/>
            <wp:docPr id="36" name="图表 36" descr="您目前签约的工作地是" title="${chart-1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目前签约的工作地是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0" w:name="_Toc28274"/>
      <w:bookmarkStart w:id="201" w:name="_Toc31750"/>
      <w:r>
        <w:rPr>
          <w:rFonts w:hint="eastAsia" w:asciiTheme="minorEastAsia" w:hAnsiTheme="minorEastAsia" w:eastAsiaTheme="minorEastAsia" w:cstheme="minorEastAsia"/>
          <w:b w:val="0"/>
          <w:bCs w:val="0"/>
          <w:lang w:val="en-US" w:eastAsia="zh-CN"/>
        </w:rPr>
        <w:t>目前签约工作的平均月收入（税前）是人民币多少元/月</w:t>
      </w:r>
      <w:bookmarkEnd w:id="200"/>
      <w:bookmarkEnd w:id="201"/>
    </w:p>
    <w:p>
      <w:pPr>
        <w:bidi w:val="0"/>
        <w:jc w:val="left"/>
        <w:rPr>
          <w:rFonts w:hint="eastAsia"/>
          <w:lang w:val="en-US" w:eastAsia="zh-CN"/>
        </w:rPr>
      </w:pPr>
      <w:r>
        <w:rPr>
          <w:rFonts w:hint="eastAsia"/>
          <w:lang w:val="en-US" w:eastAsia="zh-CN"/>
        </w:rPr>
        <w:t>调查数据显示，签约工作的平均月收入在2000-3999元元之间，整体平均月收入比期望预期低一些，详见下图。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115" name="图表 115" descr="您目前签约工作的平均月收入（税前）是人民币多少元/月" title="${chart-1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目前签约工作的平均月收入（税前）是人民币多少元/月</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2" w:name="_Toc19052"/>
      <w:bookmarkStart w:id="203" w:name="_Toc11282"/>
      <w:r>
        <w:rPr>
          <w:rFonts w:hint="eastAsia" w:asciiTheme="minorEastAsia" w:hAnsiTheme="minorEastAsia" w:eastAsiaTheme="minorEastAsia" w:cstheme="minorEastAsia"/>
          <w:b w:val="0"/>
          <w:bCs w:val="0"/>
          <w:lang w:val="en-US" w:eastAsia="zh-CN"/>
        </w:rPr>
        <w:t>目前的签约工作单位是毕业实习的单位</w:t>
      </w:r>
      <w:bookmarkEnd w:id="202"/>
      <w:bookmarkEnd w:id="203"/>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7" name="图表 57" descr="您目前的签约工作单位是您毕业实习的单位吗" title="${chart-1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目前的签约工作单位是毕业实习的单位</w:t>
      </w:r>
    </w:p>
    <w:p>
      <w:pPr>
        <w:bidi w:val="0"/>
        <w:jc w:val="left"/>
        <w:rPr>
          <w:rFonts w:hint="eastAsia"/>
          <w:lang w:val="en-US" w:eastAsia="zh-CN"/>
        </w:rPr>
      </w:pPr>
      <w:r>
        <w:rPr>
          <w:rFonts w:hint="eastAsia"/>
          <w:lang w:val="en-US" w:eastAsia="zh-CN"/>
        </w:rPr>
        <w:t>调查数据显示，目前有26.93%的毕业生签约单位不是毕业实习单位，66.60%的毕业生签约单位是毕业实习的单位，另外有6.47%的毕业生没有实习直接就业。详见上图。</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4" w:name="_Toc16943"/>
      <w:bookmarkStart w:id="205" w:name="_Toc26294"/>
      <w:r>
        <w:rPr>
          <w:rFonts w:hint="eastAsia" w:asciiTheme="minorEastAsia" w:hAnsiTheme="minorEastAsia" w:eastAsiaTheme="minorEastAsia" w:cstheme="minorEastAsia"/>
          <w:b w:val="0"/>
          <w:bCs w:val="0"/>
          <w:lang w:val="en-US" w:eastAsia="zh-CN"/>
        </w:rPr>
        <w:t>毕业实习结束后，未留在实习单位的原因</w:t>
      </w:r>
      <w:bookmarkEnd w:id="204"/>
      <w:bookmarkEnd w:id="205"/>
    </w:p>
    <w:p>
      <w:pPr>
        <w:bidi w:val="0"/>
        <w:jc w:val="left"/>
        <w:rPr>
          <w:rFonts w:hint="eastAsia"/>
          <w:lang w:val="en-US" w:eastAsia="zh-CN"/>
        </w:rPr>
      </w:pPr>
      <w:r>
        <w:rPr>
          <w:rFonts w:hint="eastAsia"/>
          <w:lang w:val="en-US" w:eastAsia="zh-CN"/>
        </w:rPr>
        <w:t>调查数据显示，个人发展空间不够是毕业生未留在实习单位的首要原因，其次是想改变职业或行业、薪资福利偏低以及工作要求高，压力大。详见下图。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367405"/>
            <wp:effectExtent l="0" t="0" r="6350" b="635"/>
            <wp:docPr id="116" name="图表 116" descr="您毕业实习结束后，未留在实习单位的原因（可多选，限选3项）" title="${chart-1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毕业实习结束后，未留在实习单位的原因</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6" w:name="_Toc20320"/>
      <w:bookmarkStart w:id="207" w:name="_Toc21317"/>
      <w:r>
        <w:rPr>
          <w:rFonts w:hint="eastAsia" w:asciiTheme="minorEastAsia" w:hAnsiTheme="minorEastAsia" w:eastAsiaTheme="minorEastAsia" w:cstheme="minorEastAsia"/>
          <w:b w:val="0"/>
          <w:bCs w:val="0"/>
          <w:lang w:val="en-US" w:eastAsia="zh-CN"/>
        </w:rPr>
        <w:t>目前的签约工作与所学专业相关</w:t>
      </w:r>
      <w:bookmarkEnd w:id="206"/>
      <w:bookmarkEnd w:id="207"/>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8" name="图表 58" descr="您目前的签约工作与所学专业相关吗" title="${chart-1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目前的签约工作与所学专业相关</w:t>
      </w:r>
    </w:p>
    <w:p>
      <w:pPr>
        <w:bidi w:val="0"/>
        <w:jc w:val="left"/>
        <w:rPr>
          <w:rFonts w:hint="eastAsia"/>
          <w:lang w:val="en-US" w:eastAsia="zh-CN"/>
        </w:rPr>
      </w:pPr>
      <w:r>
        <w:rPr>
          <w:rFonts w:hint="eastAsia"/>
          <w:lang w:val="en-US" w:eastAsia="zh-CN"/>
        </w:rPr>
        <w:t>调查数据显示，毕业生签约工作与所学专业相关度达56.78%。详见下图。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毕业生签约工作与所学专业</w:t>
      </w:r>
      <w:r>
        <w:rPr>
          <w:rFonts w:hint="eastAsia" w:ascii="宋体" w:hAnsi="宋体" w:cs="宋体"/>
          <w:kern w:val="2"/>
          <w:sz w:val="21"/>
          <w:szCs w:val="21"/>
          <w:lang w:val="en-US" w:eastAsia="zh-CN" w:bidi="ar-SA"/>
        </w:rPr>
        <w:t>度</w:t>
      </w:r>
      <w:r>
        <w:rPr>
          <w:rFonts w:hint="eastAsia" w:ascii="宋体" w:hAnsi="宋体" w:eastAsia="宋体" w:cs="宋体"/>
          <w:kern w:val="2"/>
          <w:sz w:val="21"/>
          <w:szCs w:val="21"/>
          <w:lang w:val="en-US" w:eastAsia="zh-CN" w:bidi="ar-SA"/>
        </w:rPr>
        <w:t>学院分布情况表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相关</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不相关</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52.74%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47.26%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79.75%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20.25%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65.85%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34.15%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58.33%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33.85%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66.15%</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毕业生签约工作与所学专业</w:t>
      </w:r>
      <w:r>
        <w:rPr>
          <w:rFonts w:hint="eastAsia" w:ascii="宋体" w:hAnsi="宋体" w:cs="宋体"/>
          <w:kern w:val="2"/>
          <w:sz w:val="21"/>
          <w:szCs w:val="21"/>
          <w:lang w:val="en-US" w:eastAsia="zh-CN" w:bidi="ar-SA"/>
        </w:rPr>
        <w:t>度专业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相关</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不相关</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22.58%</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77.42%</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88.89%</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63.64%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60.87%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77.78%</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22.22%</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77.27%</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91.30%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47.37%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48.57%</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51.43%</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58.33%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77.78%</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22.22%</w:t>
            </w:r>
          </w:p>
        </w:tc>
      </w:tr>
    </w:tbl>
    <w:p>
      <w:pPr>
        <w:pStyle w:val="16"/>
        <w:rPr>
          <w:rFonts w:hint="eastAsia"/>
          <w:lang w:val="en-US" w:eastAsia="zh-CN"/>
        </w:rPr>
      </w:pP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8" w:name="_Toc8406"/>
      <w:bookmarkStart w:id="209" w:name="_Toc9365"/>
      <w:r>
        <w:rPr>
          <w:rFonts w:hint="eastAsia" w:asciiTheme="minorEastAsia" w:hAnsiTheme="minorEastAsia" w:eastAsiaTheme="minorEastAsia" w:cstheme="minorEastAsia"/>
          <w:b w:val="0"/>
          <w:bCs w:val="0"/>
          <w:lang w:val="en-US" w:eastAsia="zh-CN"/>
        </w:rPr>
        <w:t>从事与专业不相关工作最主要的原因是</w:t>
      </w:r>
      <w:bookmarkEnd w:id="208"/>
      <w:bookmarkEnd w:id="209"/>
    </w:p>
    <w:p>
      <w:pPr>
        <w:bidi w:val="0"/>
        <w:jc w:val="left"/>
        <w:rPr>
          <w:rFonts w:hint="eastAsia"/>
          <w:lang w:val="en-US" w:eastAsia="zh-CN"/>
        </w:rPr>
      </w:pPr>
      <w:r>
        <w:rPr>
          <w:rFonts w:hint="eastAsia"/>
          <w:lang w:val="en-US" w:eastAsia="zh-CN"/>
        </w:rPr>
        <w:t>调查数据显示，从事与专业不相关工作最主要的原因中其他占比32.69%，与专业相关的工作很难找为25.96%，然后是更符合我的兴趣爱好以及收入更高分别占比13.46%和13.46%，家庭原因的占比8.17%。详见下图。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9" name="图表 59" descr="您从事与专业不相关工作最主要的原因是" title="${chart-1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从事与专业不相关工作最主要的原因是</w:t>
      </w:r>
    </w:p>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0" w:name="_Toc19075"/>
      <w:bookmarkStart w:id="211" w:name="_Toc6625"/>
      <w:r>
        <w:rPr>
          <w:rFonts w:hint="eastAsia" w:asciiTheme="minorEastAsia" w:hAnsiTheme="minorEastAsia" w:eastAsiaTheme="minorEastAsia" w:cstheme="minorEastAsia"/>
          <w:b w:val="0"/>
          <w:bCs w:val="0"/>
          <w:lang w:val="en-US" w:eastAsia="zh-CN"/>
        </w:rPr>
        <w:t>是否适应当前工作要求</w:t>
      </w:r>
      <w:bookmarkEnd w:id="210"/>
      <w:bookmarkEnd w:id="211"/>
    </w:p>
    <w:p>
      <w:pPr>
        <w:bidi w:val="0"/>
        <w:jc w:val="left"/>
        <w:rPr>
          <w:rFonts w:hint="eastAsia"/>
          <w:lang w:val="en-US" w:eastAsia="zh-CN"/>
        </w:rPr>
      </w:pPr>
      <w:r>
        <w:rPr>
          <w:rFonts w:hint="eastAsia"/>
          <w:lang w:val="en-US" w:eastAsia="zh-CN"/>
        </w:rPr>
        <w:t>调查数据显示，毕业生就业后对当前工作的适应性非常好，高达95.62%。详见下图。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0" name="图表 60" descr="是否适应当前工作要求" title="${chart-1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是否适应当前工作要求</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工作适应度</w:t>
      </w:r>
      <w:r>
        <w:rPr>
          <w:rFonts w:hint="eastAsia" w:ascii="宋体" w:hAnsi="宋体" w:eastAsia="宋体" w:cs="宋体"/>
          <w:kern w:val="2"/>
          <w:sz w:val="21"/>
          <w:szCs w:val="21"/>
          <w:lang w:val="en-US" w:eastAsia="zh-CN" w:bidi="ar-SA"/>
        </w:rPr>
        <w:t>学院分布情况表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适应</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不适应</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96.02%</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3.98%</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96.20%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95.12%</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98.61%</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90.77%</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9.23%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工作适应度专业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适应</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不适应</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92.00%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93.55%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88.89%</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93.94%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94.44%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98.21%</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95.45%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97.83%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97.14%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98.61%</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94.44%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r>
    </w:tbl>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2" w:name="_Toc22901"/>
      <w:bookmarkStart w:id="213" w:name="_Toc29182"/>
      <w:r>
        <w:rPr>
          <w:rFonts w:hint="eastAsia" w:asciiTheme="minorEastAsia" w:hAnsiTheme="minorEastAsia" w:eastAsiaTheme="minorEastAsia" w:cstheme="minorEastAsia"/>
          <w:b w:val="0"/>
          <w:bCs w:val="0"/>
          <w:lang w:val="en-US" w:eastAsia="zh-CN"/>
        </w:rPr>
        <w:t>不适应当前工作最主要的原因是</w:t>
      </w:r>
      <w:bookmarkEnd w:id="212"/>
      <w:bookmarkEnd w:id="213"/>
    </w:p>
    <w:p>
      <w:pPr>
        <w:bidi w:val="0"/>
        <w:jc w:val="left"/>
        <w:rPr>
          <w:rFonts w:hint="eastAsia"/>
          <w:lang w:val="en-US" w:eastAsia="zh-CN"/>
        </w:rPr>
      </w:pPr>
      <w:r>
        <w:rPr>
          <w:rFonts w:hint="eastAsia"/>
          <w:lang w:val="en-US" w:eastAsia="zh-CN"/>
        </w:rPr>
        <w:t>调查数据显示，毕业生工作后不适应当前工作的最主要原因中工作要求高，压力大是首要原因，占比34.78%，其次是学习能力不能满足工作要求和学校所学知识不能满足工作需求占比同为17.39%和17.39%。详见下图。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1" name="图表 61" descr="不适应当前工作最主要的原因是" title="${chart-1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不适应当前工作最主要的原因是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4" w:name="_Toc20987"/>
      <w:bookmarkStart w:id="215" w:name="_Toc27328"/>
      <w:r>
        <w:rPr>
          <w:rFonts w:hint="eastAsia" w:asciiTheme="minorEastAsia" w:hAnsiTheme="minorEastAsia" w:eastAsiaTheme="minorEastAsia" w:cstheme="minorEastAsia"/>
          <w:b w:val="0"/>
          <w:bCs w:val="0"/>
          <w:lang w:val="en-US" w:eastAsia="zh-CN"/>
        </w:rPr>
        <w:t>当前工作是第几份工作</w:t>
      </w:r>
      <w:bookmarkEnd w:id="214"/>
      <w:bookmarkEnd w:id="215"/>
    </w:p>
    <w:p>
      <w:pPr>
        <w:bidi w:val="0"/>
        <w:jc w:val="left"/>
        <w:rPr>
          <w:rFonts w:hint="eastAsia"/>
          <w:lang w:val="en-US" w:eastAsia="zh-CN"/>
        </w:rPr>
      </w:pPr>
      <w:r>
        <w:rPr>
          <w:rFonts w:hint="eastAsia"/>
          <w:lang w:val="en-US" w:eastAsia="zh-CN"/>
        </w:rPr>
        <w:t>调查数据显示，55.74%的毕业生是第一份工作，工作稳定性好，很好的适应了当前工作，这与毕业生是否适应当前工作是一致的。详见下图。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2" name="图表 62" descr="当前工作是您第几份工作" title="${chart-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hAnsi="宋体" w:cs="宋体"/>
          <w:kern w:val="2"/>
          <w:sz w:val="21"/>
          <w:szCs w:val="21"/>
          <w:lang w:val="en-US" w:eastAsia="zh-CN" w:bidi="ar-SA"/>
        </w:rPr>
        <w:t>图5-3-</w:t>
      </w:r>
      <w:r>
        <w:rPr>
          <w:rFonts w:hint="eastAsia"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2</w:t>
      </w:r>
      <w:r>
        <w:rPr>
          <w:rFonts w:hint="eastAsia" w:ascii="宋体" w:hAnsi="宋体" w:eastAsia="宋体" w:cs="宋体"/>
          <w:kern w:val="2"/>
          <w:sz w:val="21"/>
          <w:szCs w:val="21"/>
          <w:lang w:val="en-US" w:eastAsia="zh-CN" w:bidi="ar-SA"/>
        </w:rPr>
        <w:t xml:space="preserve"> 当前工作是第几份工作</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6" w:name="_Toc8934"/>
      <w:bookmarkStart w:id="217" w:name="_Toc31615"/>
      <w:r>
        <w:rPr>
          <w:rFonts w:hint="eastAsia" w:asciiTheme="minorEastAsia" w:hAnsiTheme="minorEastAsia" w:eastAsiaTheme="minorEastAsia" w:cstheme="minorEastAsia"/>
          <w:b w:val="0"/>
          <w:bCs w:val="0"/>
          <w:lang w:val="en-US" w:eastAsia="zh-CN"/>
        </w:rPr>
        <w:t>找到第一份工作(签约)距离第一次投递求职简历的时间</w:t>
      </w:r>
      <w:bookmarkEnd w:id="216"/>
      <w:bookmarkEnd w:id="217"/>
    </w:p>
    <w:p>
      <w:pPr>
        <w:bidi w:val="0"/>
        <w:jc w:val="left"/>
        <w:rPr>
          <w:rFonts w:hint="eastAsia"/>
          <w:highlight w:val="none"/>
          <w:lang w:val="en-US" w:eastAsia="zh-CN"/>
        </w:rPr>
      </w:pPr>
      <w:r>
        <w:rPr>
          <w:rFonts w:hint="eastAsia"/>
          <w:highlight w:val="none"/>
          <w:lang w:val="en-US" w:eastAsia="zh-CN"/>
        </w:rPr>
        <w:t>调查数据显示，65.76%的毕业生在投出简历后在一个月内就落实了工作，两个月之内落实工作的有84.76%的毕业生，92.48%的毕业生能在3个月内找到工作。详见下图。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3" name="图表 63" descr="您找到第一份工作(签约)距离第一次投递求职简历的时间大约是" title="${chart-18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找到第一份工作(签约)距离第一次投递求职简历的时间</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8" w:name="_Toc7506"/>
      <w:bookmarkStart w:id="219" w:name="_Toc16624"/>
      <w:r>
        <w:rPr>
          <w:rFonts w:hint="eastAsia" w:asciiTheme="minorEastAsia" w:hAnsiTheme="minorEastAsia" w:eastAsiaTheme="minorEastAsia" w:cstheme="minorEastAsia"/>
          <w:b w:val="0"/>
          <w:bCs w:val="0"/>
          <w:lang w:val="en-US" w:eastAsia="zh-CN"/>
        </w:rPr>
        <w:t>对当前工作总体满意度</w:t>
      </w:r>
      <w:bookmarkEnd w:id="218"/>
      <w:bookmarkEnd w:id="219"/>
    </w:p>
    <w:p>
      <w:pPr>
        <w:bidi w:val="0"/>
        <w:jc w:val="left"/>
        <w:rPr>
          <w:rFonts w:hint="eastAsia"/>
          <w:highlight w:val="none"/>
          <w:lang w:val="en-US" w:eastAsia="zh-CN"/>
        </w:rPr>
      </w:pPr>
      <w:r>
        <w:rPr>
          <w:rFonts w:hint="eastAsia"/>
          <w:highlight w:val="none"/>
          <w:lang w:val="en-US" w:eastAsia="zh-CN"/>
        </w:rPr>
        <w:t>调查数据显示，毕业生对当前工作总体满意度高达91.65%，其中非常满意30.69%，满意60.96%，只有1.25%的毕业生对当前工作很不满意。详见下图。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4" name="图表 64" descr="您对当前工作总体满意度" title="${chart-1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对当前工作总体满意度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毕业生对当前工作总体满意度学院分布情况表</w:t>
      </w: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08"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不满意</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很不满意</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63.68%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7.46%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25.32%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70.89%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36.59%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51.22%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9.76%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54.17%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6.94%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35.38%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52.31%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9.23%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3.08%</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毕业生对当前工作总体满意度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395"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非常满意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很不满意</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32.26%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54.84%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3.23%</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77.78%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63.64%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26.09%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73.91%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22.22%</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72.22%</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68.18%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23.91%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76.09%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36.84%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47.37%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10.53%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54.29%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54.17%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6.94%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55.56%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bl>
    <w:p>
      <w:pPr>
        <w:pStyle w:val="4"/>
        <w:numPr>
          <w:ilvl w:val="0"/>
          <w:numId w:val="0"/>
        </w:numPr>
        <w:bidi w:val="0"/>
        <w:ind w:left="420" w:leftChars="0"/>
        <w:outlineLvl w:val="9"/>
        <w:rPr>
          <w:rFonts w:hint="eastAsia" w:asciiTheme="minorEastAsia" w:hAnsiTheme="minorEastAsia" w:eastAsiaTheme="minorEastAsia" w:cstheme="minorEastAsia"/>
          <w:b w:val="0"/>
          <w:bCs w:val="0"/>
          <w:lang w:val="en-US" w:eastAsia="zh-CN"/>
        </w:rPr>
      </w:pPr>
      <w:bookmarkStart w:id="220" w:name="_Toc18980"/>
      <w:bookmarkStart w:id="221" w:name="_Toc5591"/>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对目前签约工作不满意的原因是</w:t>
      </w:r>
      <w:bookmarkEnd w:id="220"/>
      <w:bookmarkEnd w:id="221"/>
    </w:p>
    <w:p>
      <w:pPr>
        <w:bidi w:val="0"/>
        <w:jc w:val="left"/>
        <w:rPr>
          <w:rFonts w:hint="eastAsia"/>
          <w:lang w:val="en-US" w:eastAsia="zh-CN"/>
        </w:rPr>
      </w:pPr>
      <w:r>
        <w:rPr>
          <w:rFonts w:hint="eastAsia"/>
          <w:lang w:val="en-US" w:eastAsia="zh-CN"/>
        </w:rPr>
        <w:t>调查数据显示，毕业生对当前签约工作不满意的首要原因是收入低，其次是工作压力较大和与所学专业相关度不高，详见下图。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117" name="图表 117" descr="您对目前签约工作不满意的原因是（可多选，限选3项）" title="${chart-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对目前签约工作不满意的原因是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22" w:name="_Toc895"/>
      <w:bookmarkStart w:id="223" w:name="_Toc17342"/>
      <w:r>
        <w:rPr>
          <w:rFonts w:hint="eastAsia" w:asciiTheme="minorEastAsia" w:hAnsiTheme="minorEastAsia" w:eastAsiaTheme="minorEastAsia" w:cstheme="minorEastAsia"/>
          <w:b w:val="0"/>
          <w:bCs w:val="0"/>
          <w:lang w:val="en-US" w:eastAsia="zh-CN"/>
        </w:rPr>
        <w:t>对就业能力的评价比较重要的指标有</w:t>
      </w:r>
      <w:bookmarkEnd w:id="222"/>
      <w:bookmarkEnd w:id="223"/>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6353175"/>
            <wp:effectExtent l="0" t="0" r="6350" b="5080"/>
            <wp:docPr id="118" name="图表 118" descr="您认为对就业能力的评价比较重要的指标有（可多选，限选3项）" title="${chart-1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对就业能力的评价比较重要的指标</w:t>
      </w:r>
    </w:p>
    <w:p>
      <w:pPr>
        <w:bidi w:val="0"/>
        <w:jc w:val="left"/>
        <w:rPr>
          <w:rFonts w:hint="eastAsia"/>
          <w:lang w:val="en-US" w:eastAsia="zh-CN"/>
        </w:rPr>
      </w:pPr>
      <w:r>
        <w:rPr>
          <w:rFonts w:hint="eastAsia"/>
          <w:lang w:val="en-US" w:eastAsia="zh-CN"/>
        </w:rPr>
        <w:t>调查数据显示，有效的口头沟通、积极学习和逻辑思维是毕业生认为对就业能力的评价比较重要的前三项，分别占比62.21%、53.24%和40.92%。详见上图。</w:t>
      </w:r>
    </w:p>
    <w:p>
      <w:pPr>
        <w:pStyle w:val="3"/>
        <w:numPr>
          <w:ilvl w:val="0"/>
          <w:numId w:val="6"/>
        </w:numPr>
        <w:bidi w:val="0"/>
        <w:rPr>
          <w:rFonts w:hint="eastAsia"/>
          <w:lang w:val="en-US" w:eastAsia="zh-CN"/>
        </w:rPr>
      </w:pPr>
      <w:bookmarkStart w:id="224" w:name="_Toc25347"/>
      <w:bookmarkStart w:id="225" w:name="_Toc7096"/>
      <w:bookmarkStart w:id="226" w:name="_Toc23078"/>
      <w:r>
        <w:rPr>
          <w:rFonts w:hint="eastAsia"/>
          <w:lang w:val="en-US" w:eastAsia="zh-CN"/>
        </w:rPr>
        <w:t>毕业生升学状况分析</w:t>
      </w:r>
      <w:bookmarkEnd w:id="224"/>
      <w:bookmarkEnd w:id="225"/>
      <w:bookmarkEnd w:id="226"/>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27" w:name="_Toc6567"/>
      <w:bookmarkStart w:id="228" w:name="_Toc31902"/>
      <w:r>
        <w:rPr>
          <w:rFonts w:hint="eastAsia" w:asciiTheme="minorEastAsia" w:hAnsiTheme="minorEastAsia" w:eastAsiaTheme="minorEastAsia" w:cstheme="minorEastAsia"/>
          <w:b w:val="0"/>
          <w:bCs w:val="0"/>
          <w:lang w:val="en-US" w:eastAsia="zh-CN"/>
        </w:rPr>
        <w:t>选择升学而非直接就业的最主要原因</w:t>
      </w:r>
      <w:bookmarkEnd w:id="227"/>
      <w:bookmarkEnd w:id="228"/>
    </w:p>
    <w:p>
      <w:pPr>
        <w:bidi w:val="0"/>
        <w:jc w:val="left"/>
        <w:rPr>
          <w:rFonts w:hint="eastAsia"/>
          <w:lang w:val="en-US" w:eastAsia="zh-CN"/>
        </w:rPr>
      </w:pPr>
      <w:r>
        <w:rPr>
          <w:rFonts w:hint="eastAsia"/>
          <w:lang w:val="en-US" w:eastAsia="zh-CN"/>
        </w:rPr>
        <w:t>调查数据显示，对自己现有的学历层次不满足是毕业生选择升学而非就业的主要原因，占比71.79%，其次是谋求更好的职业发展前景，占比13.35%，详见下图。</w:t>
      </w:r>
      <w:r>
        <w:rPr>
          <w:rFonts w:hint="eastAsia" w:eastAsia="宋体"/>
          <w:lang w:eastAsia="zh-CN"/>
        </w:rPr>
        <w:drawing>
          <wp:inline distT="0" distB="0" distL="114300" distR="114300">
            <wp:extent cx="5455920" cy="2964180"/>
            <wp:effectExtent l="0" t="0" r="6350" b="4445"/>
            <wp:docPr id="41" name="图表 41" descr="您选择升学而非直接就业的最主要原因是" title="${chart-1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选择升学而非直接就业的最主要原因是</w:t>
      </w:r>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29" w:name="_Toc3240"/>
      <w:bookmarkStart w:id="230" w:name="_Toc14829"/>
      <w:r>
        <w:rPr>
          <w:rFonts w:hint="eastAsia" w:asciiTheme="minorEastAsia" w:hAnsiTheme="minorEastAsia" w:eastAsiaTheme="minorEastAsia" w:cstheme="minorEastAsia"/>
          <w:b w:val="0"/>
          <w:bCs w:val="0"/>
          <w:lang w:val="en-US" w:eastAsia="zh-CN"/>
        </w:rPr>
        <w:t>升学专业与刚所学专业相关性</w:t>
      </w:r>
      <w:bookmarkEnd w:id="229"/>
      <w:bookmarkEnd w:id="230"/>
    </w:p>
    <w:p>
      <w:pPr>
        <w:bidi w:val="0"/>
        <w:jc w:val="left"/>
        <w:rPr>
          <w:rFonts w:hint="eastAsia"/>
          <w:lang w:val="en-US" w:eastAsia="zh-CN"/>
        </w:rPr>
      </w:pPr>
      <w:r>
        <w:rPr>
          <w:rFonts w:hint="eastAsia"/>
          <w:lang w:val="en-US" w:eastAsia="zh-CN"/>
        </w:rPr>
        <w:t>调查数据显示，升学专业与刚所学专业相关一致性高达48.11%，相关和相关性不大分别占比33.75%和12.34%。详见下图。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5" name="图表 65" descr="您升学专业与刚所学专业相关吗" title="${chart-1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升学专业与刚所学专业相关性</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升学专业相关性</w:t>
      </w:r>
      <w:r>
        <w:rPr>
          <w:rFonts w:hint="eastAsia" w:ascii="宋体" w:hAnsi="宋体" w:eastAsia="宋体" w:cs="宋体"/>
          <w:kern w:val="2"/>
          <w:sz w:val="21"/>
          <w:szCs w:val="21"/>
          <w:lang w:val="en-US" w:eastAsia="zh-CN" w:bidi="ar-SA"/>
        </w:rPr>
        <w:t>学院分布情况表</w:t>
      </w: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08"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一致</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相关</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不相关</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相关性不大</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38.73%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10.40%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46.24%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4.62%</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59.18%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10.20%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22.45%</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8.16%</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43.48%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23.91%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23.91%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47.06%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2.94%</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8.93%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16.07%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13.89%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16.67%</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升学专业相关性专业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808"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一致</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相关</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不相关</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相关性不大</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19.05%</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47.06%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2.94%</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42.11%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42.86%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44.44%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56.25%</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28.21%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10.26%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48.72%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12.82%</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53.57%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20.83%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4.17%</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45.45%</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8.93%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16.07%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r>
    </w:tbl>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31" w:name="_Toc3051"/>
      <w:bookmarkStart w:id="232" w:name="_Toc12825"/>
      <w:r>
        <w:rPr>
          <w:rFonts w:hint="eastAsia" w:asciiTheme="minorEastAsia" w:hAnsiTheme="minorEastAsia" w:eastAsiaTheme="minorEastAsia" w:cstheme="minorEastAsia"/>
          <w:b w:val="0"/>
          <w:bCs w:val="0"/>
          <w:lang w:val="en-US" w:eastAsia="zh-CN"/>
        </w:rPr>
        <w:t>升学选择目前专业的最主要原因</w:t>
      </w:r>
      <w:bookmarkEnd w:id="231"/>
      <w:bookmarkEnd w:id="232"/>
    </w:p>
    <w:p>
      <w:pPr>
        <w:bidi w:val="0"/>
        <w:jc w:val="left"/>
        <w:rPr>
          <w:rFonts w:hint="eastAsia"/>
          <w:lang w:val="en-US" w:eastAsia="zh-CN"/>
        </w:rPr>
      </w:pPr>
      <w:r>
        <w:rPr>
          <w:rFonts w:hint="eastAsia"/>
          <w:lang w:val="en-US" w:eastAsia="zh-CN"/>
        </w:rPr>
        <w:t>调查数据显示，个人兴趣是升学选择目前专业的最主要原因，占比39.13%，其次是考取希望大和就业前景好，分别占比17.39%和13.04%。详见下图。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343275"/>
            <wp:effectExtent l="0" t="0" r="6350" b="3175"/>
            <wp:docPr id="42" name="图表 42" descr="您升学选择目前专业的最主要原因是" title="${chart-1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升学选择目前专业的最主要原因</w:t>
      </w:r>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33" w:name="_Toc14945"/>
      <w:bookmarkStart w:id="234" w:name="_Toc6424"/>
      <w:r>
        <w:rPr>
          <w:rFonts w:hint="eastAsia" w:asciiTheme="minorEastAsia" w:hAnsiTheme="minorEastAsia" w:eastAsiaTheme="minorEastAsia" w:cstheme="minorEastAsia"/>
          <w:b w:val="0"/>
          <w:bCs w:val="0"/>
          <w:lang w:val="en-US" w:eastAsia="zh-CN"/>
        </w:rPr>
        <w:t>升学选择目前学校的原因</w:t>
      </w:r>
      <w:bookmarkEnd w:id="233"/>
      <w:bookmarkEnd w:id="234"/>
    </w:p>
    <w:p>
      <w:pPr>
        <w:bidi w:val="0"/>
        <w:jc w:val="left"/>
        <w:rPr>
          <w:rFonts w:hint="eastAsia"/>
          <w:lang w:val="en-US" w:eastAsia="zh-CN"/>
        </w:rPr>
      </w:pPr>
      <w:r>
        <w:rPr>
          <w:rFonts w:hint="eastAsia"/>
          <w:lang w:val="en-US" w:eastAsia="zh-CN"/>
        </w:rPr>
        <w:t>调查数据显示，地理位置合适是毕业生选择升学学校的主要原因占比38.29%，其次是考取希望大占比38.04%。详见下图。</w:t>
      </w:r>
      <w:r>
        <w:rPr>
          <w:rFonts w:hint="eastAsia" w:eastAsia="宋体"/>
          <w:lang w:eastAsia="zh-CN"/>
        </w:rPr>
        <w:drawing>
          <wp:inline distT="0" distB="0" distL="114300" distR="114300">
            <wp:extent cx="5455920" cy="3455035"/>
            <wp:effectExtent l="0" t="0" r="6350" b="10160"/>
            <wp:docPr id="43" name="图表 43" descr="您升学选择目前学校的原因是（可多选，限选3项）" title="${chart-1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升学选择目前学校的原因</w:t>
      </w:r>
    </w:p>
    <w:p>
      <w:pPr>
        <w:pStyle w:val="3"/>
        <w:numPr>
          <w:ilvl w:val="0"/>
          <w:numId w:val="6"/>
        </w:numPr>
        <w:bidi w:val="0"/>
        <w:rPr>
          <w:rFonts w:hint="default"/>
          <w:lang w:val="en-US" w:eastAsia="zh-CN"/>
        </w:rPr>
      </w:pPr>
      <w:bookmarkStart w:id="235" w:name="_Toc4113"/>
      <w:bookmarkStart w:id="236" w:name="_Toc12874"/>
      <w:bookmarkStart w:id="237" w:name="_Toc13599"/>
      <w:r>
        <w:rPr>
          <w:rFonts w:hint="eastAsia"/>
          <w:lang w:val="en-US" w:eastAsia="zh-CN"/>
        </w:rPr>
        <w:t>毕业生自由职业情况分析</w:t>
      </w:r>
      <w:bookmarkEnd w:id="235"/>
      <w:bookmarkEnd w:id="236"/>
      <w:bookmarkEnd w:id="237"/>
    </w:p>
    <w:p>
      <w:pPr>
        <w:pStyle w:val="4"/>
        <w:numPr>
          <w:ilvl w:val="0"/>
          <w:numId w:val="11"/>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38" w:name="_Toc2656"/>
      <w:bookmarkStart w:id="239" w:name="_Toc32083"/>
      <w:r>
        <w:rPr>
          <w:rFonts w:hint="eastAsia" w:asciiTheme="minorEastAsia" w:hAnsiTheme="minorEastAsia" w:eastAsiaTheme="minorEastAsia" w:cstheme="minorEastAsia"/>
          <w:b w:val="0"/>
          <w:bCs w:val="0"/>
          <w:lang w:val="en-US" w:eastAsia="zh-CN"/>
        </w:rPr>
        <w:t>选择自由职业而不是固定岗位工作的主要原因</w:t>
      </w:r>
      <w:bookmarkEnd w:id="238"/>
      <w:bookmarkEnd w:id="239"/>
    </w:p>
    <w:p>
      <w:pPr>
        <w:bidi w:val="0"/>
        <w:jc w:val="left"/>
        <w:rPr>
          <w:rFonts w:hint="eastAsia"/>
          <w:lang w:val="en-US" w:eastAsia="zh-CN"/>
        </w:rPr>
      </w:pPr>
      <w:r>
        <w:rPr>
          <w:rFonts w:hint="eastAsia"/>
          <w:lang w:val="en-US" w:eastAsia="zh-CN"/>
        </w:rPr>
        <w:t>调查数据显示，所学专业适合自由职业是选择自由职业而不是固定岗位工作的主要原因，占比49.00%，喜欢自由的生活方式的占比44.00%，另外暂时没有找到满意工作占比43.00%。详见下图。</w:t>
      </w:r>
      <w:r>
        <w:rPr>
          <w:rFonts w:hint="eastAsia" w:eastAsia="宋体"/>
          <w:lang w:eastAsia="zh-CN"/>
        </w:rPr>
        <w:drawing>
          <wp:inline distT="0" distB="0" distL="114300" distR="114300">
            <wp:extent cx="5455920" cy="1939290"/>
            <wp:effectExtent l="0" t="0" r="6350" b="3810"/>
            <wp:docPr id="44" name="图表 44" descr="您选择自由职业而不是固定岗位工作的主要原因（可多选，限选3项）" title="${chart-1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选择自由职业而不是固定岗位工作的主要原因</w:t>
      </w:r>
    </w:p>
    <w:p>
      <w:pPr>
        <w:pStyle w:val="4"/>
        <w:numPr>
          <w:ilvl w:val="0"/>
          <w:numId w:val="11"/>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40" w:name="_Toc32492"/>
      <w:bookmarkStart w:id="241" w:name="_Toc31400"/>
      <w:r>
        <w:rPr>
          <w:rFonts w:hint="eastAsia" w:asciiTheme="minorEastAsia" w:hAnsiTheme="minorEastAsia" w:eastAsiaTheme="minorEastAsia" w:cstheme="minorEastAsia"/>
          <w:b w:val="0"/>
          <w:bCs w:val="0"/>
          <w:lang w:val="en-US" w:eastAsia="zh-CN"/>
        </w:rPr>
        <w:t>目前从事的自由职业的平均月收入（税前）</w:t>
      </w:r>
      <w:bookmarkEnd w:id="240"/>
      <w:bookmarkEnd w:id="241"/>
    </w:p>
    <w:p>
      <w:pPr>
        <w:bidi w:val="0"/>
        <w:jc w:val="left"/>
        <w:rPr>
          <w:rFonts w:hint="eastAsia"/>
          <w:lang w:val="en-US" w:eastAsia="zh-CN"/>
        </w:rPr>
      </w:pPr>
      <w:r>
        <w:rPr>
          <w:rFonts w:hint="eastAsia"/>
          <w:lang w:val="en-US" w:eastAsia="zh-CN"/>
        </w:rPr>
        <w:t>调查数据显示，从事的自由职业的平均月收入在2000-3999元最多占比34.00%，4000-5999元和2000元以下元的较低收入和较高收入占比分别是33.00%和14.00%，3.00%的毕业生收入超过1万元，详见下图。</w:t>
      </w:r>
    </w:p>
    <w:p>
      <w:pPr>
        <w:pStyle w:val="16"/>
        <w:ind w:left="0" w:leftChars="0" w:firstLine="0" w:firstLineChars="0"/>
        <w:rPr>
          <w:rFonts w:hint="eastAsia"/>
          <w:lang w:val="en-US" w:eastAsia="zh-CN"/>
        </w:rPr>
      </w:pPr>
      <w:r>
        <w:rPr>
          <w:rFonts w:hint="eastAsia" w:eastAsia="宋体"/>
          <w:lang w:eastAsia="zh-CN"/>
        </w:rPr>
        <w:drawing>
          <wp:inline distT="0" distB="0" distL="114300" distR="114300">
            <wp:extent cx="5455920" cy="3791585"/>
            <wp:effectExtent l="0" t="0" r="6350" b="8255"/>
            <wp:docPr id="45" name="图表 45" descr="您目前从事的自由职业的平均月收入（税前）是" title="${chart-1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目前从事的自由职业的平均月收入（税前）</w:t>
      </w:r>
    </w:p>
    <w:p>
      <w:pPr>
        <w:pStyle w:val="3"/>
        <w:numPr>
          <w:ilvl w:val="0"/>
          <w:numId w:val="6"/>
        </w:numPr>
        <w:bidi w:val="0"/>
        <w:rPr>
          <w:rFonts w:hint="eastAsia"/>
          <w:lang w:val="en-US" w:eastAsia="zh-CN"/>
        </w:rPr>
      </w:pPr>
      <w:bookmarkStart w:id="242" w:name="_Toc4066"/>
      <w:bookmarkStart w:id="243" w:name="_Toc2573"/>
      <w:bookmarkStart w:id="244" w:name="_Toc18504"/>
      <w:r>
        <w:rPr>
          <w:rFonts w:hint="eastAsia"/>
          <w:lang w:val="en-US" w:eastAsia="zh-CN"/>
        </w:rPr>
        <w:t>毕业生未就业分析</w:t>
      </w:r>
      <w:bookmarkEnd w:id="242"/>
      <w:bookmarkEnd w:id="243"/>
      <w:bookmarkEnd w:id="244"/>
    </w:p>
    <w:p>
      <w:pPr>
        <w:pStyle w:val="4"/>
        <w:numPr>
          <w:ilvl w:val="0"/>
          <w:numId w:val="12"/>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45" w:name="_Toc20681"/>
      <w:bookmarkStart w:id="246" w:name="_Toc29423"/>
      <w:r>
        <w:rPr>
          <w:rFonts w:hint="eastAsia" w:asciiTheme="minorEastAsia" w:hAnsiTheme="minorEastAsia" w:eastAsiaTheme="minorEastAsia" w:cstheme="minorEastAsia"/>
          <w:b w:val="0"/>
          <w:bCs w:val="0"/>
          <w:lang w:val="en-US" w:eastAsia="zh-CN"/>
        </w:rPr>
        <w:t>认为自己尚未找到工作的主要原因</w:t>
      </w:r>
      <w:bookmarkEnd w:id="245"/>
      <w:bookmarkEnd w:id="246"/>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5482590"/>
            <wp:effectExtent l="0" t="0" r="6350" b="1270"/>
            <wp:docPr id="119" name="图表 119" descr="您认为自己尚未找到工作的主要原因是（可多选，限选3项）" title="${chart-1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认为自己尚未找到工作的主要原因</w:t>
      </w:r>
    </w:p>
    <w:p>
      <w:pPr>
        <w:bidi w:val="0"/>
        <w:jc w:val="left"/>
        <w:rPr>
          <w:rFonts w:hint="eastAsia"/>
          <w:lang w:val="en-US" w:eastAsia="zh-CN"/>
        </w:rPr>
      </w:pPr>
      <w:r>
        <w:rPr>
          <w:rFonts w:hint="eastAsia"/>
          <w:lang w:val="en-US" w:eastAsia="zh-CN"/>
        </w:rPr>
        <w:t>调查数据显示，学历不够、所学专业就业面窄和找到的工作不满意是毕业生认为自己尚未找到工作的主要原因，详见下图。</w:t>
      </w:r>
    </w:p>
    <w:p>
      <w:pPr>
        <w:pStyle w:val="4"/>
        <w:numPr>
          <w:ilvl w:val="0"/>
          <w:numId w:val="12"/>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47" w:name="_Toc7401"/>
      <w:bookmarkStart w:id="248" w:name="_Toc18520"/>
      <w:r>
        <w:rPr>
          <w:rFonts w:hint="eastAsia" w:asciiTheme="minorEastAsia" w:hAnsiTheme="minorEastAsia" w:eastAsiaTheme="minorEastAsia" w:cstheme="minorEastAsia"/>
          <w:b w:val="0"/>
          <w:bCs w:val="0"/>
          <w:lang w:val="en-US" w:eastAsia="zh-CN"/>
        </w:rPr>
        <w:t>暂不就业毕业生目前的打算</w:t>
      </w:r>
      <w:bookmarkEnd w:id="247"/>
      <w:bookmarkEnd w:id="248"/>
    </w:p>
    <w:p>
      <w:pPr>
        <w:bidi w:val="0"/>
        <w:jc w:val="left"/>
        <w:rPr>
          <w:rFonts w:hint="eastAsia"/>
          <w:lang w:val="en-US" w:eastAsia="zh-CN"/>
        </w:rPr>
      </w:pPr>
      <w:r>
        <w:rPr>
          <w:rFonts w:hint="eastAsia"/>
          <w:lang w:val="en-US" w:eastAsia="zh-CN"/>
        </w:rPr>
        <w:t>调查数据显示，在目前暂不就业的毕业生中，其他的占比63.33%，不想就业的13.33%。详见下图。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6350" b="8255"/>
            <wp:docPr id="46" name="图表 46" descr="您目前的打算是" title="${chart-1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目前的打算是</w:t>
      </w:r>
    </w:p>
    <w:p>
      <w:pPr>
        <w:pStyle w:val="3"/>
        <w:numPr>
          <w:ilvl w:val="0"/>
          <w:numId w:val="6"/>
        </w:numPr>
        <w:bidi w:val="0"/>
        <w:rPr>
          <w:rFonts w:hint="eastAsia"/>
          <w:lang w:val="en-US" w:eastAsia="zh-CN"/>
        </w:rPr>
      </w:pPr>
      <w:bookmarkStart w:id="249" w:name="_Toc3451"/>
      <w:bookmarkStart w:id="250" w:name="_Toc4373"/>
      <w:bookmarkStart w:id="251" w:name="_Toc32646"/>
      <w:r>
        <w:rPr>
          <w:rFonts w:hint="eastAsia"/>
          <w:lang w:val="en-US" w:eastAsia="zh-CN"/>
        </w:rPr>
        <w:t>毕业生满意度分析</w:t>
      </w:r>
      <w:bookmarkEnd w:id="249"/>
      <w:bookmarkEnd w:id="250"/>
      <w:bookmarkEnd w:id="251"/>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2" w:name="_Toc23329"/>
      <w:bookmarkStart w:id="253" w:name="_Toc19627"/>
      <w:r>
        <w:rPr>
          <w:rFonts w:hint="eastAsia" w:asciiTheme="minorEastAsia" w:hAnsiTheme="minorEastAsia" w:eastAsiaTheme="minorEastAsia" w:cstheme="minorEastAsia"/>
          <w:b w:val="0"/>
          <w:bCs w:val="0"/>
          <w:lang w:val="en-US" w:eastAsia="zh-CN"/>
        </w:rPr>
        <w:t>对所学专业匹配社会需求的满意度</w:t>
      </w:r>
      <w:bookmarkEnd w:id="252"/>
      <w:bookmarkEnd w:id="253"/>
    </w:p>
    <w:p>
      <w:pPr>
        <w:bidi w:val="0"/>
        <w:jc w:val="left"/>
        <w:rPr>
          <w:rFonts w:hint="eastAsia"/>
          <w:lang w:val="en-US" w:eastAsia="zh-CN"/>
        </w:rPr>
      </w:pPr>
      <w:r>
        <w:rPr>
          <w:rFonts w:hint="eastAsia"/>
          <w:lang w:val="en-US" w:eastAsia="zh-CN"/>
        </w:rPr>
        <w:t>调查数据显示，对所学专业匹配社会需求的满意度为93.46%，其中非常满意29.08%，满意26.55%，中等37.83%。详见下图。</w:t>
      </w:r>
      <w:r>
        <w:rPr>
          <w:rFonts w:hint="eastAsia"/>
          <w:lang w:val="en-US" w:eastAsia="zh-CN"/>
        </w:rPr>
        <w:drawing>
          <wp:inline distT="0" distB="0" distL="114300" distR="114300">
            <wp:extent cx="5445760" cy="2673350"/>
            <wp:effectExtent l="0" t="0" r="5715" b="3810"/>
            <wp:docPr id="77" name="图表 77" descr="您对所学专业匹配社会需求的满意度如何？" title="${chart-2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bidi w:val="0"/>
        <w:jc w:val="left"/>
        <w:rPr>
          <w:rFonts w:hint="eastAsia"/>
          <w:lang w:val="en-US" w:eastAsia="zh-CN"/>
        </w:rPr>
      </w:pPr>
    </w:p>
    <w:p>
      <w:pPr>
        <w:pStyle w:val="16"/>
        <w:numPr>
          <w:ilvl w:val="0"/>
          <w:numId w:val="0"/>
        </w:numPr>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对所学专业匹配社会需求的满意度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表 </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毕业生对所学专业匹配社会需求的满意度学院分布情况表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34.38%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60.87%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表 </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毕业生对所学专业匹配社会需求的满意度专业分布情况表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33.87%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60.87%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38.60%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23.53%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33.05%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22.54%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4" w:name="_Toc31119"/>
      <w:bookmarkStart w:id="255" w:name="_Toc18321"/>
      <w:r>
        <w:rPr>
          <w:rFonts w:hint="eastAsia" w:asciiTheme="minorEastAsia" w:hAnsiTheme="minorEastAsia" w:eastAsiaTheme="minorEastAsia" w:cstheme="minorEastAsia"/>
          <w:b w:val="0"/>
          <w:bCs w:val="0"/>
          <w:lang w:val="en-US" w:eastAsia="zh-CN"/>
        </w:rPr>
        <w:t>在校期间对自身能力和素质提高的满意度</w:t>
      </w:r>
      <w:bookmarkEnd w:id="254"/>
      <w:bookmarkEnd w:id="255"/>
    </w:p>
    <w:p>
      <w:pPr>
        <w:bidi w:val="0"/>
        <w:jc w:val="left"/>
        <w:rPr>
          <w:rFonts w:hint="eastAsia"/>
          <w:lang w:val="en-US" w:eastAsia="zh-CN"/>
        </w:rPr>
      </w:pPr>
      <w:r>
        <w:rPr>
          <w:rFonts w:hint="eastAsia"/>
          <w:lang w:val="en-US" w:eastAsia="zh-CN"/>
        </w:rPr>
        <w:t>调查数据显示，对在校期间对自身能力和素质提高的满意度为96.32%，其中非常满意30.72%，满意32.76%，中等32.84%。详见下图。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47" name="图表 47" descr="您对所学专业匹配社会需求的满意度如何？" title="${chart-2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在校期间对自身能力和素质提高的满意度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毕业生对在校期间对自身能力和素质提高的满意度学院分布情况表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37.16%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39.84%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毕业生对在校期间对自身能力和素质提高的满意度专业分布情况表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49.28%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15.52%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39.66%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34.38%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45.83%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38.60%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26.83%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42.37%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20.34%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1.82%</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6" w:name="_Toc16574"/>
      <w:bookmarkStart w:id="257" w:name="_Toc6101"/>
      <w:r>
        <w:rPr>
          <w:rFonts w:hint="eastAsia" w:asciiTheme="minorEastAsia" w:hAnsiTheme="minorEastAsia" w:eastAsiaTheme="minorEastAsia" w:cstheme="minorEastAsia"/>
          <w:b w:val="0"/>
          <w:bCs w:val="0"/>
          <w:lang w:val="en-US" w:eastAsia="zh-CN"/>
        </w:rPr>
        <w:t>对学校职业生涯规划与就业、创业指导课教学效果的满意度</w:t>
      </w:r>
      <w:bookmarkEnd w:id="256"/>
      <w:bookmarkEnd w:id="257"/>
    </w:p>
    <w:p>
      <w:pPr>
        <w:bidi w:val="0"/>
        <w:jc w:val="left"/>
        <w:rPr>
          <w:rFonts w:hint="eastAsia"/>
          <w:lang w:val="en-US" w:eastAsia="zh-CN"/>
        </w:rPr>
      </w:pPr>
      <w:r>
        <w:rPr>
          <w:rFonts w:hint="eastAsia"/>
          <w:lang w:val="en-US" w:eastAsia="zh-CN"/>
        </w:rPr>
        <w:t>调查数据显示，对学校职业生涯规划与就业、创业指导课教学效果的满意度为95.02%，其中非常满意30.23%，满意31.94%，中等32.84%。详见下图。</w:t>
      </w:r>
    </w:p>
    <w:p>
      <w:pPr>
        <w:bidi w:val="0"/>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48" name="图表 48" descr="您对所学专业匹配社会需求的满意度如何？" title="${chart-2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hint="eastAsia" w:ascii="宋体" w:hAnsi="宋体" w:eastAsia="宋体" w:cs="宋体"/>
          <w:kern w:val="2"/>
          <w:sz w:val="21"/>
          <w:szCs w:val="21"/>
          <w:lang w:val="en-US" w:eastAsia="zh-CN" w:bidi="ar-SA"/>
        </w:rPr>
        <w:t>图：对学校职业生涯规划与就业、创业指导课教学效果的满意度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毕业生对学校职业生涯规划与就业、创业指导课教学效果的满意度学院分布情况表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33.40%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0.42%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毕业生对学校职业生涯规划与就业、创业指导课教学效果的满意度专业分布情况表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45.16%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25.81%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34.38%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34.38%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38.89%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26.83%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43.22%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1.82%</w:t>
            </w:r>
          </w:p>
        </w:tc>
      </w:tr>
    </w:tbl>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8" w:name="_Toc24900"/>
      <w:bookmarkStart w:id="259" w:name="_Toc32078"/>
      <w:r>
        <w:rPr>
          <w:rFonts w:hint="eastAsia" w:asciiTheme="minorEastAsia" w:hAnsiTheme="minorEastAsia" w:eastAsiaTheme="minorEastAsia" w:cstheme="minorEastAsia"/>
          <w:b w:val="0"/>
          <w:bCs w:val="0"/>
          <w:lang w:val="en-US" w:eastAsia="zh-CN"/>
        </w:rPr>
        <w:t>对学校、学院获得就业信息质量的满意度</w:t>
      </w:r>
      <w:bookmarkEnd w:id="258"/>
      <w:bookmarkEnd w:id="259"/>
    </w:p>
    <w:p>
      <w:pPr>
        <w:bidi w:val="0"/>
        <w:jc w:val="left"/>
        <w:rPr>
          <w:rFonts w:hint="eastAsia"/>
          <w:lang w:val="en-US" w:eastAsia="zh-CN"/>
        </w:rPr>
      </w:pPr>
      <w:r>
        <w:rPr>
          <w:rFonts w:hint="eastAsia"/>
          <w:lang w:val="en-US" w:eastAsia="zh-CN"/>
        </w:rPr>
        <w:t>调查数据显示，对学校、学院获得就业信息质量的满意度为94.12%，其中非常满意29.33%，满意30.47%，中等34.31%。详见下图。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2" name="图表 52" descr="您对所学专业匹配社会需求的满意度如何？" title="${chart-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对学校、学院获得就业信息质量的满意度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毕业生对学校、学院获得就业信息质量的满意度学院分布情况表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33.61%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0.42%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32.03%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36.72%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28.99%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毕业生对学校、学院获得就业信息质量的满意度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45.16%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28.99%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38.98%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49.30%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18.31%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1.82%</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0" w:name="_Toc9570"/>
      <w:bookmarkStart w:id="261" w:name="_Toc24135"/>
      <w:r>
        <w:rPr>
          <w:rFonts w:hint="eastAsia" w:asciiTheme="minorEastAsia" w:hAnsiTheme="minorEastAsia" w:eastAsiaTheme="minorEastAsia" w:cstheme="minorEastAsia"/>
          <w:b w:val="0"/>
          <w:bCs w:val="0"/>
          <w:lang w:val="en-US" w:eastAsia="zh-CN"/>
        </w:rPr>
        <w:t>对校园招聘会、宣讲会等的满意度</w:t>
      </w:r>
      <w:bookmarkEnd w:id="260"/>
      <w:bookmarkEnd w:id="261"/>
    </w:p>
    <w:p>
      <w:pPr>
        <w:bidi w:val="0"/>
        <w:jc w:val="left"/>
        <w:rPr>
          <w:rFonts w:hint="eastAsia"/>
          <w:lang w:val="en-US" w:eastAsia="zh-CN"/>
        </w:rPr>
      </w:pPr>
      <w:r>
        <w:rPr>
          <w:rFonts w:hint="eastAsia"/>
          <w:lang w:val="en-US" w:eastAsia="zh-CN"/>
        </w:rPr>
        <w:t>调查数据显示，对校园招聘会、宣讲会等的满意度为91.91%，其中非常满意29.74%，满意28.02%，中等34.15%。详见下图。</w:t>
      </w:r>
    </w:p>
    <w:p>
      <w:pPr>
        <w:pStyle w:val="16"/>
        <w:rPr>
          <w:rFonts w:hint="eastAsia"/>
          <w:lang w:val="en-US" w:eastAsia="zh-CN"/>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4" name="图表 54" descr="您对所学专业匹配社会需求的满意度如何？" title="${chart-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对校园招聘会、宣讲会等的满意度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毕业生对校园招聘会、宣讲会等的满意度学院分布情况表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36.72%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18.84%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65.22%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6.96%</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毕业生对校园招聘会、宣讲会等的满意度专业分布情况表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46.77%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65.22%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49.30%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18.31%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26.24%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2" w:name="_Toc4149"/>
      <w:bookmarkStart w:id="263" w:name="_Toc2699"/>
      <w:r>
        <w:rPr>
          <w:rFonts w:hint="eastAsia" w:asciiTheme="minorEastAsia" w:hAnsiTheme="minorEastAsia" w:eastAsiaTheme="minorEastAsia" w:cstheme="minorEastAsia"/>
          <w:b w:val="0"/>
          <w:bCs w:val="0"/>
          <w:lang w:val="en-US" w:eastAsia="zh-CN"/>
        </w:rPr>
        <w:t>对学校提供的创新创业指导与服务工作的满意度</w:t>
      </w:r>
      <w:bookmarkEnd w:id="262"/>
      <w:bookmarkEnd w:id="263"/>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学校提供的创新创业指导与服务工作的满意度</w:t>
      </w:r>
      <w:r>
        <w:rPr>
          <w:rFonts w:hint="eastAsia"/>
          <w:lang w:val="en-US" w:eastAsia="zh-CN"/>
        </w:rPr>
        <w:t>为94.20%，其中非常满意29.66%，满意29.98%，中等34.56%。详见下图。</w:t>
      </w:r>
    </w:p>
    <w:p>
      <w:pPr>
        <w:pStyle w:val="16"/>
        <w:numPr>
          <w:ilvl w:val="0"/>
          <w:numId w:val="0"/>
        </w:numPr>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5" name="图表 55" descr="您对所学专业匹配社会需求的满意度如何？" title="${chart-2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对学校提供的创新创业指导与服务工作的满意度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毕业生对学校提供的创新创业指导与服务工作的满意度学院分布情况表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5.06%</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毕业生对学校提供的创新创业指导与服务工作的满意度专业分布情况表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29.31%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10.34%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5.17%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39.83%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47.89%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28.22%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4" w:name="_Toc8418"/>
      <w:bookmarkStart w:id="265" w:name="_Toc7842"/>
      <w:r>
        <w:rPr>
          <w:rFonts w:hint="eastAsia" w:asciiTheme="minorEastAsia" w:hAnsiTheme="minorEastAsia" w:eastAsiaTheme="minorEastAsia" w:cstheme="minorEastAsia"/>
          <w:b w:val="0"/>
          <w:bCs w:val="0"/>
          <w:lang w:val="en-US" w:eastAsia="zh-CN"/>
        </w:rPr>
        <w:t>对学校提供的就业指导与服务的满意度</w:t>
      </w:r>
      <w:bookmarkEnd w:id="264"/>
      <w:bookmarkEnd w:id="265"/>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学校提供的就业指导与服务的满意度</w:t>
      </w:r>
      <w:r>
        <w:rPr>
          <w:rFonts w:hint="eastAsia"/>
          <w:lang w:val="en-US" w:eastAsia="zh-CN"/>
        </w:rPr>
        <w:t>为93.95%，其中非常满意29.41%，满意29.74%，中等34.80%。详见下图。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56" name="图表 56" descr="您对所学专业匹配社会需求的满意度如何？" title="${chart-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对学校提供的就业指导与服务的满意度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毕业生对学校提供的就业指导与服务的满意度学院分布情况表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22.66%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31.01%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毕业生对学校提供的就业指导与服务的满意度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63.77%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10.34%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38.89%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38.60%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47.89%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18.31%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6" w:name="_Toc22362"/>
      <w:bookmarkStart w:id="267" w:name="_Toc17507"/>
      <w:r>
        <w:rPr>
          <w:rFonts w:hint="eastAsia" w:asciiTheme="minorEastAsia" w:hAnsiTheme="minorEastAsia" w:eastAsiaTheme="minorEastAsia" w:cstheme="minorEastAsia"/>
          <w:b w:val="0"/>
          <w:bCs w:val="0"/>
          <w:lang w:val="en-US" w:eastAsia="zh-CN"/>
        </w:rPr>
        <w:t>对学校针对就业困难学生帮扶的满意度</w:t>
      </w:r>
      <w:bookmarkEnd w:id="266"/>
      <w:bookmarkEnd w:id="267"/>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学校针对就业困难学生帮扶的满意度</w:t>
      </w:r>
      <w:r>
        <w:rPr>
          <w:rFonts w:hint="eastAsia"/>
          <w:lang w:val="en-US" w:eastAsia="zh-CN"/>
        </w:rPr>
        <w:t>为93.55%，其中非常满意29.74%，满意30.56%，中等33.25%。详见下图。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6" name="图表 66" descr="您对所学专业匹配社会需求的满意度如何？" title="${chart-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对学校针对就业困难学生帮扶的满意度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毕业生对学校针对就业困难学生帮扶的满意度学院分布情况表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2.51%</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30.47%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6.25%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18.84%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6.33%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毕业生对学校针对就业困难学生帮扶的满意度专业分布情况表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10.71%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8.62%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34.38%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40.28%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34.15%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23.53%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42.37%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8" w:name="_Toc26367"/>
      <w:bookmarkStart w:id="269" w:name="_Toc9899"/>
      <w:r>
        <w:rPr>
          <w:rFonts w:hint="eastAsia" w:asciiTheme="minorEastAsia" w:hAnsiTheme="minorEastAsia" w:eastAsiaTheme="minorEastAsia" w:cstheme="minorEastAsia"/>
          <w:b w:val="0"/>
          <w:bCs w:val="0"/>
          <w:lang w:val="en-US" w:eastAsia="zh-CN"/>
        </w:rPr>
        <w:t>疫情期间对学校提供的线上就业服务的满意度</w:t>
      </w:r>
      <w:bookmarkEnd w:id="268"/>
      <w:bookmarkEnd w:id="269"/>
    </w:p>
    <w:p>
      <w:pPr>
        <w:bidi w:val="0"/>
        <w:jc w:val="left"/>
        <w:rPr>
          <w:rFonts w:hint="eastAsia"/>
          <w:lang w:val="en-US" w:eastAsia="zh-CN"/>
        </w:rPr>
      </w:pPr>
      <w:r>
        <w:rPr>
          <w:rFonts w:hint="eastAsia"/>
          <w:lang w:val="en-US" w:eastAsia="zh-CN"/>
        </w:rPr>
        <w:t>调查数据显示，</w:t>
      </w:r>
      <w:r>
        <w:rPr>
          <w:rFonts w:hint="eastAsia" w:asciiTheme="minorEastAsia" w:hAnsiTheme="minorEastAsia" w:eastAsiaTheme="minorEastAsia" w:cstheme="minorEastAsia"/>
          <w:b w:val="0"/>
          <w:bCs w:val="0"/>
          <w:lang w:val="en-US" w:eastAsia="zh-CN"/>
        </w:rPr>
        <w:t>疫情期间对学校提供的线上就业服务的满意度</w:t>
      </w:r>
      <w:r>
        <w:rPr>
          <w:rFonts w:hint="eastAsia"/>
          <w:lang w:val="en-US" w:eastAsia="zh-CN"/>
        </w:rPr>
        <w:t>为94.53%，其中非常满意30.80%，满意32.11%，中等31.62%。详见下图。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7" name="图表 67" descr="您对所学专业匹配社会需求的满意度如何？" title="${chart-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疫情期间对学校提供的线上就业服务的满意度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毕业生疫情期间对学校提供的线上就业服务的满意度学院分布情况表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33.61%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17.39%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毕业生疫情期间对学校提供的线上就业服务的满意度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56.52%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10.71%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20.69%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34.15%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42.37%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47.89%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33.80%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1.82%</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70" w:name="_Toc7167"/>
      <w:bookmarkStart w:id="271" w:name="_Toc21951"/>
      <w:r>
        <w:rPr>
          <w:rFonts w:hint="eastAsia" w:asciiTheme="minorEastAsia" w:hAnsiTheme="minorEastAsia" w:eastAsiaTheme="minorEastAsia" w:cstheme="minorEastAsia"/>
          <w:b w:val="0"/>
          <w:bCs w:val="0"/>
          <w:lang w:val="en-US" w:eastAsia="zh-CN"/>
        </w:rPr>
        <w:t>对实习实训、见习等实践学习环节的满意度</w:t>
      </w:r>
      <w:bookmarkEnd w:id="270"/>
      <w:bookmarkEnd w:id="271"/>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实习实训、见习等实践学习环节的满意度</w:t>
      </w:r>
      <w:r>
        <w:rPr>
          <w:rFonts w:hint="eastAsia"/>
          <w:lang w:val="en-US" w:eastAsia="zh-CN"/>
        </w:rPr>
        <w:t>为95.34%，其中非常满意29.90%，满意30.64%，中等34.80%。详见下图。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8" name="图表 68" descr="您对所学专业匹配社会需求的满意度如何？" title="${chart-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对实习实训、见习等实践学习环节的满意度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毕业生对实习实训、见习等实践学习环节的满意度学院分布情况表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35.87%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68.12%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33.17%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0.99%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31.01%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毕业生对实习实训、见习等实践学习环节的满意度专业分布情况表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33.87%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68.12%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10.34%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3.13%</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13.04%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21.95%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36.59%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17.80%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42.08%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0.99%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3.64%</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72" w:name="_Toc8154"/>
      <w:bookmarkStart w:id="273" w:name="_Toc3893"/>
      <w:r>
        <w:rPr>
          <w:rFonts w:hint="eastAsia" w:asciiTheme="minorEastAsia" w:hAnsiTheme="minorEastAsia" w:eastAsiaTheme="minorEastAsia" w:cstheme="minorEastAsia"/>
          <w:b w:val="0"/>
          <w:bCs w:val="0"/>
          <w:lang w:val="en-US" w:eastAsia="zh-CN"/>
        </w:rPr>
        <w:t>对学校校风、学风、教风的满意度</w:t>
      </w:r>
      <w:bookmarkEnd w:id="272"/>
      <w:bookmarkEnd w:id="273"/>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学校校风、学风、教风的满意度</w:t>
      </w:r>
      <w:r>
        <w:rPr>
          <w:rFonts w:hint="eastAsia"/>
          <w:lang w:val="en-US" w:eastAsia="zh-CN"/>
        </w:rPr>
        <w:t>为95.26%，其中非常满意30.39%，满意33.17%，中等31.70%。详见下图。</w:t>
      </w:r>
    </w:p>
    <w:p>
      <w:pPr>
        <w:pStyle w:val="16"/>
        <w:rPr>
          <w:rFonts w:hint="eastAsia"/>
          <w:lang w:val="en-US" w:eastAsia="zh-CN"/>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69" name="图表 69" descr="您对所学专业匹配社会需求的满意度如何？" title="${chart-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对学校校风、学风、教风的满意度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毕业生对学校校风、学风、教风的满意度学院分布情况表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32.99%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24.84%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22.66%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30.20%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毕业生对学校校风、学风、教风的满意度专业分布情况表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37.10%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25.81%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59.42%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38.60%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22.81%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17.65%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11.76%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44.92%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17.86%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47.89%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29.58%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19.72%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30.20%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34.55%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74" w:name="_Toc30051"/>
      <w:bookmarkStart w:id="275" w:name="_Toc32687"/>
      <w:r>
        <w:rPr>
          <w:rFonts w:hint="eastAsia" w:asciiTheme="minorEastAsia" w:hAnsiTheme="minorEastAsia" w:eastAsiaTheme="minorEastAsia" w:cstheme="minorEastAsia"/>
          <w:b w:val="0"/>
          <w:bCs w:val="0"/>
          <w:lang w:val="en-US" w:eastAsia="zh-CN"/>
        </w:rPr>
        <w:t>对母校总体满意度</w:t>
      </w:r>
      <w:bookmarkEnd w:id="274"/>
      <w:bookmarkEnd w:id="275"/>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母校总体满意度</w:t>
      </w:r>
      <w:r>
        <w:rPr>
          <w:rFonts w:hint="eastAsia"/>
          <w:lang w:val="en-US" w:eastAsia="zh-CN"/>
        </w:rPr>
        <w:t>为96.49%，其中非常满意34.23%，满意34.23%，中等28.02%。详见下图。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5715" b="3810"/>
            <wp:docPr id="70" name="图表 70" descr="您对所学专业匹配社会需求的满意度如何？" title="${chart-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对母校总体满意度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毕业生对母校总体满意度学院分布情况表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37.79%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22.34%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：2023届</w:t>
      </w:r>
      <w:r>
        <w:rPr>
          <w:rFonts w:hint="eastAsia" w:ascii="宋体" w:hAnsi="宋体" w:eastAsia="宋体" w:cs="宋体"/>
          <w:kern w:val="2"/>
          <w:sz w:val="21"/>
          <w:szCs w:val="21"/>
          <w:lang w:val="en-US" w:eastAsia="zh-CN" w:bidi="ar-SA"/>
        </w:rPr>
        <w:t>毕业生对母校总体满意度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2611"/>
        <w:gridCol w:w="1203"/>
        <w:gridCol w:w="1203"/>
        <w:gridCol w:w="1203"/>
        <w:gridCol w:w="1203"/>
        <w:gridCol w:w="1204"/>
      </w:tblGrid>
      <w:tr>
        <w:tblPrEx>
          <w:tblCellMar>
            <w:top w:w="15" w:type="dxa"/>
            <w:left w:w="15" w:type="dxa"/>
            <w:bottom w:w="15" w:type="dxa"/>
            <w:right w:w="15" w:type="dxa"/>
          </w:tblCellMar>
        </w:tblPrEx>
        <w:trPr>
          <w:trHeight w:val="567" w:hRule="atLeast"/>
          <w:jc w:val="center"/>
        </w:trPr>
        <w:tc>
          <w:tcPr>
            <w:tcW w:w="1513"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表演艺术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25.81%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27.42%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播音与主持</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56.52%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雕刻艺术设计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63.64%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9.09%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动漫设计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服装与服饰设计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高速铁路客运乘务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8.62%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1.72%</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广告设计与制作</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国际标准舞</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23.61%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环境艺术设计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空中乘务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43.48%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26.83%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人物形象设计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23.53%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摄影摄像技术</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室内艺术设计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13.56%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0.85%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0.85%</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数字媒体艺术设计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0.89%</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戏剧影视表演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26.79%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7.14%</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54.93%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12.68%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1.41%</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音乐表演</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36.63%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0.50%</w:t>
            </w:r>
          </w:p>
        </w:tc>
      </w:tr>
      <w:tr>
        <w:tblPrEx>
          <w:tblCellMar>
            <w:top w:w="15" w:type="dxa"/>
            <w:left w:w="15" w:type="dxa"/>
            <w:bottom w:w="15" w:type="dxa"/>
            <w:right w:w="15" w:type="dxa"/>
          </w:tblCellMar>
        </w:tblPrEx>
        <w:trPr>
          <w:trHeight w:val="454" w:hRule="atLeast"/>
          <w:jc w:val="center"/>
        </w:trPr>
        <w:tc>
          <w:tcPr>
            <w:tcW w:w="1513"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影视编导</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32.73%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1.82%</w:t>
            </w:r>
          </w:p>
        </w:tc>
      </w:tr>
    </w:tbl>
    <w:p>
      <w:pPr>
        <w:pStyle w:val="16"/>
        <w:rPr>
          <w:rFonts w:hint="eastAsia"/>
          <w:sz w:val="24"/>
          <w:lang w:val="en-US" w:eastAsia="zh-CN"/>
        </w:rPr>
      </w:pPr>
    </w:p>
    <w:p>
      <w:pPr>
        <w:pStyle w:val="2"/>
        <w:bidi w:val="0"/>
        <w:rPr>
          <w:rFonts w:hint="eastAsia"/>
          <w:highlight w:val="none"/>
          <w:lang w:val="en-US" w:eastAsia="zh-CN"/>
        </w:rPr>
      </w:pPr>
      <w:bookmarkStart w:id="276" w:name="_Toc20097"/>
      <w:bookmarkStart w:id="277" w:name="_Toc12498"/>
      <w:r>
        <w:rPr>
          <w:rFonts w:hint="eastAsia"/>
          <w:highlight w:val="none"/>
          <w:lang w:val="en-US" w:eastAsia="zh-CN"/>
        </w:rPr>
        <w:t>第六部分 市场需求状况分析报告</w:t>
      </w:r>
      <w:bookmarkEnd w:id="276"/>
      <w:bookmarkEnd w:id="277"/>
    </w:p>
    <w:p>
      <w:pPr>
        <w:bidi w:val="0"/>
        <w:rPr>
          <w:rFonts w:hint="eastAsia"/>
          <w:highlight w:val="none"/>
          <w:lang w:val="en-US" w:eastAsia="zh-CN"/>
        </w:rPr>
      </w:pPr>
      <w:r>
        <w:rPr>
          <w:rFonts w:hint="eastAsia"/>
          <w:highlight w:val="none"/>
          <w:lang w:val="en-US" w:eastAsia="zh-CN"/>
        </w:rPr>
        <w:t>为了更好地收集用人单位对学校的教育教学、人才培养质量和就业管理服务等方面的意见和建议，不断提升人才培养质量，学校委托第三方公司利用“安徽省校招服务平台”开展了用人单位问卷调查工作。本次调查共回收有效问卷192份，对问卷调查中的部分问题进行统计分析如下。</w:t>
      </w:r>
    </w:p>
    <w:p>
      <w:pPr>
        <w:pStyle w:val="3"/>
        <w:numPr>
          <w:ilvl w:val="0"/>
          <w:numId w:val="14"/>
        </w:numPr>
        <w:bidi w:val="0"/>
        <w:rPr>
          <w:rFonts w:hint="eastAsia" w:ascii="宋体" w:hAnsi="宋体" w:cs="宋体"/>
          <w:b/>
          <w:bCs/>
          <w:kern w:val="2"/>
          <w:sz w:val="21"/>
          <w:szCs w:val="22"/>
          <w:highlight w:val="none"/>
          <w:lang w:val="en-US" w:eastAsia="zh-CN" w:bidi="ar-SA"/>
        </w:rPr>
      </w:pPr>
      <w:bookmarkStart w:id="278" w:name="_Toc11253"/>
      <w:bookmarkStart w:id="279" w:name="_Toc7749"/>
      <w:bookmarkStart w:id="280" w:name="_Toc4360_WPSOffice_Level2"/>
      <w:bookmarkStart w:id="281" w:name="_Toc20513_WPSOffice_Level2"/>
      <w:bookmarkStart w:id="282" w:name="_Toc23625"/>
      <w:r>
        <w:rPr>
          <w:rFonts w:hint="eastAsia"/>
          <w:highlight w:val="none"/>
          <w:lang w:val="en-US" w:eastAsia="zh-CN"/>
        </w:rPr>
        <w:t>用人单位情况招聘过程分析</w:t>
      </w:r>
      <w:bookmarkEnd w:id="278"/>
      <w:bookmarkEnd w:id="279"/>
      <w:bookmarkEnd w:id="280"/>
      <w:bookmarkEnd w:id="281"/>
      <w:bookmarkEnd w:id="282"/>
    </w:p>
    <w:p>
      <w:pPr>
        <w:numPr>
          <w:ilvl w:val="0"/>
          <w:numId w:val="15"/>
        </w:numPr>
        <w:bidi w:val="0"/>
        <w:ind w:left="845" w:leftChars="0" w:hanging="425" w:firstLineChars="0"/>
        <w:rPr>
          <w:rFonts w:hint="eastAsia" w:ascii="Times New Roman" w:hAnsi="Times New Roman" w:cs="Times New Roman"/>
          <w:highlight w:val="none"/>
          <w:lang w:val="en-US" w:eastAsia="zh-CN"/>
        </w:rPr>
      </w:pPr>
      <w:r>
        <w:rPr>
          <w:rFonts w:hint="eastAsia"/>
          <w:highlight w:val="none"/>
          <w:lang w:val="en-US" w:eastAsia="zh-CN"/>
        </w:rPr>
        <w:t>单位招聘毕业生侧重的渠道</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highlight w:val="none"/>
          <w:lang w:val="en-US" w:eastAsia="zh-CN"/>
        </w:rPr>
      </w:pPr>
      <w:r>
        <w:rPr>
          <w:rFonts w:hint="eastAsia" w:ascii="Times New Roman" w:hAnsi="Times New Roman" w:cs="Times New Roman"/>
          <w:highlight w:val="none"/>
          <w:lang w:val="en-US" w:eastAsia="zh-CN"/>
        </w:rPr>
        <w:t>调查数据显示，在单位招聘毕业生的渠道中，</w:t>
      </w:r>
      <w:r>
        <w:rPr>
          <w:rFonts w:hint="eastAsia"/>
          <w:highlight w:val="none"/>
          <w:lang w:val="en-US" w:eastAsia="zh-CN"/>
        </w:rPr>
        <w:t>78.65%</w:t>
      </w:r>
      <w:r>
        <w:rPr>
          <w:rFonts w:hint="eastAsia" w:ascii="Times New Roman" w:hAnsi="Times New Roman" w:cs="Times New Roman"/>
          <w:highlight w:val="none"/>
          <w:lang w:val="en-US" w:eastAsia="zh-CN"/>
        </w:rPr>
        <w:t>的单位认为</w:t>
      </w:r>
      <w:r>
        <w:rPr>
          <w:rFonts w:hint="eastAsia"/>
          <w:highlight w:val="none"/>
          <w:lang w:val="en-US" w:eastAsia="zh-CN"/>
        </w:rPr>
        <w:t>校园专场</w:t>
      </w:r>
      <w:r>
        <w:rPr>
          <w:rFonts w:hint="eastAsia" w:ascii="Times New Roman" w:hAnsi="Times New Roman" w:cs="Times New Roman"/>
          <w:highlight w:val="none"/>
          <w:lang w:val="en-US" w:eastAsia="zh-CN"/>
        </w:rPr>
        <w:t>是最侧重的，其次是</w:t>
      </w:r>
      <w:r>
        <w:rPr>
          <w:rFonts w:hint="eastAsia"/>
          <w:highlight w:val="none"/>
          <w:lang w:val="en-US" w:eastAsia="zh-CN"/>
        </w:rPr>
        <w:t>参加高校组织的就业市场</w:t>
      </w:r>
      <w:r>
        <w:rPr>
          <w:rFonts w:hint="eastAsia" w:ascii="Times New Roman" w:hAnsi="Times New Roman" w:cs="Times New Roman"/>
          <w:highlight w:val="none"/>
          <w:lang w:val="en-US" w:eastAsia="zh-CN"/>
        </w:rPr>
        <w:t>的占比</w:t>
      </w:r>
      <w:r>
        <w:rPr>
          <w:rFonts w:hint="eastAsia"/>
          <w:highlight w:val="none"/>
          <w:lang w:val="en-US" w:eastAsia="zh-CN"/>
        </w:rPr>
        <w:t>61.46%</w:t>
      </w:r>
      <w:r>
        <w:rPr>
          <w:rFonts w:hint="eastAsia" w:ascii="Times New Roman" w:hAnsi="Times New Roman" w:cs="Times New Roman"/>
          <w:highlight w:val="none"/>
          <w:lang w:val="en-US" w:eastAsia="zh-CN"/>
        </w:rPr>
        <w:t>，然后是</w:t>
      </w:r>
      <w:r>
        <w:rPr>
          <w:rFonts w:hint="eastAsia"/>
          <w:highlight w:val="none"/>
          <w:lang w:val="en-US" w:eastAsia="zh-CN"/>
        </w:rPr>
        <w:t>通过学校发布招聘信息</w:t>
      </w:r>
      <w:r>
        <w:rPr>
          <w:rFonts w:hint="eastAsia" w:ascii="Times New Roman" w:hAnsi="Times New Roman" w:cs="Times New Roman"/>
          <w:highlight w:val="none"/>
          <w:lang w:val="en-US" w:eastAsia="zh-CN"/>
        </w:rPr>
        <w:t>的占比</w:t>
      </w:r>
      <w:r>
        <w:rPr>
          <w:rFonts w:hint="eastAsia"/>
          <w:highlight w:val="none"/>
          <w:lang w:val="en-US" w:eastAsia="zh-CN"/>
        </w:rPr>
        <w:t>58.33%</w:t>
      </w:r>
      <w:r>
        <w:rPr>
          <w:rFonts w:hint="eastAsia" w:ascii="Times New Roman" w:hAnsi="Times New Roman" w:cs="Times New Roman"/>
          <w:highlight w:val="none"/>
          <w:lang w:val="en-US" w:eastAsia="zh-CN"/>
        </w:rPr>
        <w:t>，接着是</w:t>
      </w:r>
      <w:r>
        <w:rPr>
          <w:rFonts w:hint="eastAsia"/>
          <w:highlight w:val="none"/>
          <w:lang w:val="en-US" w:eastAsia="zh-CN"/>
        </w:rPr>
        <w:t>网络进行招聘活动</w:t>
      </w:r>
      <w:r>
        <w:rPr>
          <w:rFonts w:hint="eastAsia" w:ascii="Times New Roman" w:hAnsi="Times New Roman" w:cs="Times New Roman"/>
          <w:highlight w:val="none"/>
          <w:lang w:val="en-US" w:eastAsia="zh-CN"/>
        </w:rPr>
        <w:t>占比</w:t>
      </w:r>
      <w:r>
        <w:rPr>
          <w:rFonts w:hint="eastAsia"/>
          <w:highlight w:val="none"/>
          <w:lang w:val="en-US" w:eastAsia="zh-CN"/>
        </w:rPr>
        <w:t>54.69%</w:t>
      </w:r>
      <w:r>
        <w:rPr>
          <w:rFonts w:hint="eastAsia" w:ascii="Times New Roman" w:hAnsi="Times New Roman" w:cs="Times New Roman"/>
          <w:highlight w:val="none"/>
          <w:lang w:val="en-US" w:eastAsia="zh-CN"/>
        </w:rPr>
        <w:t>。详见下图。</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highlight w:val="none"/>
          <w:lang w:val="en-US" w:eastAsia="zh-CN"/>
        </w:rPr>
      </w:pPr>
      <w:r>
        <w:rPr>
          <w:rFonts w:hint="eastAsia" w:eastAsia="宋体"/>
          <w:highlight w:val="none"/>
          <w:lang w:eastAsia="zh-CN"/>
        </w:rPr>
        <w:drawing>
          <wp:inline distT="0" distB="0" distL="114300" distR="114300">
            <wp:extent cx="5455920" cy="3639185"/>
            <wp:effectExtent l="0" t="0" r="6350" b="9525"/>
            <wp:docPr id="74" name="图表 74" descr="7b0a202020202263686172745265734964223a20223230343733343130220a7d0a" title="${chart-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用人单位招聘毕业生侧重的渠道</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近三年贵单位来校招聘的频率</w:t>
      </w:r>
    </w:p>
    <w:p>
      <w:pPr>
        <w:pStyle w:val="16"/>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宋体" w:hAnsi="宋体" w:cs="宋体"/>
          <w:b/>
          <w:bCs/>
          <w:kern w:val="2"/>
          <w:sz w:val="21"/>
          <w:szCs w:val="22"/>
          <w:highlight w:val="none"/>
          <w:lang w:val="en-US" w:eastAsia="zh-CN" w:bidi="ar-SA"/>
        </w:rPr>
      </w:pPr>
      <w:r>
        <w:rPr>
          <w:rFonts w:hint="eastAsia" w:ascii="Times New Roman" w:hAnsi="Times New Roman" w:cs="Times New Roman"/>
          <w:highlight w:val="none"/>
          <w:lang w:val="en-US" w:eastAsia="zh-CN"/>
        </w:rPr>
        <w:t>调查显示，</w:t>
      </w:r>
      <w:r>
        <w:rPr>
          <w:rFonts w:hint="eastAsia"/>
          <w:highlight w:val="none"/>
          <w:lang w:val="en-US" w:eastAsia="zh-CN"/>
        </w:rPr>
        <w:t>几乎每年都来</w:t>
      </w:r>
      <w:r>
        <w:rPr>
          <w:rFonts w:hint="eastAsia" w:ascii="Times New Roman" w:hAnsi="Times New Roman" w:cs="Times New Roman"/>
          <w:highlight w:val="none"/>
          <w:lang w:val="en-US" w:eastAsia="zh-CN"/>
        </w:rPr>
        <w:t>占比</w:t>
      </w:r>
      <w:r>
        <w:rPr>
          <w:rFonts w:hint="eastAsia"/>
          <w:highlight w:val="none"/>
          <w:lang w:val="en-US" w:eastAsia="zh-CN"/>
        </w:rPr>
        <w:t>43.23%</w:t>
      </w:r>
      <w:r>
        <w:rPr>
          <w:rFonts w:hint="eastAsia" w:ascii="Times New Roman" w:hAnsi="Times New Roman" w:cs="Times New Roman"/>
          <w:highlight w:val="none"/>
          <w:lang w:val="en-US" w:eastAsia="zh-CN"/>
        </w:rPr>
        <w:t>，</w:t>
      </w:r>
      <w:r>
        <w:rPr>
          <w:rFonts w:hint="eastAsia"/>
          <w:highlight w:val="none"/>
          <w:lang w:val="en-US" w:eastAsia="zh-CN"/>
        </w:rPr>
        <w:t>根据有针对性的招聘需求才来占比23.96%</w:t>
      </w:r>
      <w:r>
        <w:rPr>
          <w:rFonts w:hint="eastAsia" w:ascii="Times New Roman" w:hAnsi="Times New Roman" w:cs="Times New Roman"/>
          <w:highlight w:val="none"/>
          <w:lang w:val="en-US" w:eastAsia="zh-CN"/>
        </w:rPr>
        <w:t>，</w:t>
      </w:r>
      <w:r>
        <w:rPr>
          <w:rFonts w:hint="eastAsia"/>
          <w:highlight w:val="none"/>
          <w:lang w:val="en-US" w:eastAsia="zh-CN"/>
        </w:rPr>
        <w:t>第一次来</w:t>
      </w:r>
      <w:r>
        <w:rPr>
          <w:rFonts w:hint="eastAsia" w:ascii="Times New Roman" w:hAnsi="Times New Roman" w:cs="Times New Roman"/>
          <w:highlight w:val="none"/>
          <w:lang w:val="en-US" w:eastAsia="zh-CN"/>
        </w:rPr>
        <w:t>占比</w:t>
      </w:r>
      <w:r>
        <w:rPr>
          <w:rFonts w:hint="eastAsia"/>
          <w:highlight w:val="none"/>
          <w:lang w:val="en-US" w:eastAsia="zh-CN"/>
        </w:rPr>
        <w:t>20.83%</w:t>
      </w:r>
      <w:r>
        <w:rPr>
          <w:rFonts w:hint="eastAsia" w:ascii="Times New Roman" w:hAnsi="Times New Roman" w:cs="Times New Roman"/>
          <w:highlight w:val="none"/>
          <w:lang w:val="en-US" w:eastAsia="zh-CN"/>
        </w:rPr>
        <w:t>，详见下图。</w:t>
      </w:r>
      <w:r>
        <w:rPr>
          <w:rFonts w:hint="eastAsia" w:eastAsia="宋体"/>
          <w:highlight w:val="none"/>
          <w:lang w:eastAsia="zh-CN"/>
        </w:rPr>
        <w:drawing>
          <wp:inline distT="0" distB="0" distL="114300" distR="114300">
            <wp:extent cx="5455920" cy="2183130"/>
            <wp:effectExtent l="0" t="0" r="6350" b="8255"/>
            <wp:docPr id="75" name="图表 75" descr="7b0a202020202263686172745265734964223a20223230343733343130220a7d0a" title="${chart-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单位来校招聘的频率</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 xml:space="preserve">单位可提供的试用期工资待遇(元/月) </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highlight w:val="none"/>
          <w:lang w:val="en-US" w:eastAsia="zh-CN"/>
        </w:rPr>
      </w:pPr>
      <w:r>
        <w:rPr>
          <w:rFonts w:hint="eastAsia"/>
          <w:highlight w:val="none"/>
          <w:lang w:val="en-US" w:eastAsia="zh-CN"/>
        </w:rPr>
        <w:t>调查显示，试用期的薪资区间主要集中在6000～8000元、8000以上元和4000～6000元之间。</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539365"/>
            <wp:effectExtent l="0" t="0" r="6350" b="8255"/>
            <wp:docPr id="76" name="图表 76" descr="7b0a202020202263686172745265734964223a20223230343733343130220a7d0a" title="${chart-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单位可提供的试用期工资待遇</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 xml:space="preserve"> 单位提供的工资待遇在当地属于何等水平</w:t>
      </w:r>
    </w:p>
    <w:p>
      <w:pPr>
        <w:bidi w:val="0"/>
        <w:rPr>
          <w:rFonts w:hint="default"/>
          <w:highlight w:val="none"/>
          <w:lang w:val="en-US" w:eastAsia="zh-CN"/>
        </w:rPr>
      </w:pPr>
      <w:r>
        <w:rPr>
          <w:rFonts w:hint="eastAsia"/>
          <w:highlight w:val="none"/>
          <w:lang w:val="en-US" w:eastAsia="zh-CN"/>
        </w:rPr>
        <w:t>调查显示，单位提供的工资待遇在当地属于中等偏上水平的占比73.44%，其次中等水平的占比15.10%，然后高档水平的占比10.94%。</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335530"/>
            <wp:effectExtent l="0" t="0" r="6350" b="6985"/>
            <wp:docPr id="78" name="图表 78" descr="7b0a202020202263686172745265734964223a20223230343733343130220a7d0a" title="${chart-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单位可提供的正式聘用后的工资待遇</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单位未来几年对大学毕业生的需求趋势</w:t>
      </w:r>
    </w:p>
    <w:p>
      <w:pPr>
        <w:bidi w:val="0"/>
        <w:rPr>
          <w:rFonts w:hint="eastAsia"/>
          <w:highlight w:val="none"/>
          <w:lang w:val="en-US" w:eastAsia="zh-CN"/>
        </w:rPr>
      </w:pPr>
      <w:r>
        <w:rPr>
          <w:rFonts w:hint="eastAsia"/>
          <w:highlight w:val="none"/>
          <w:lang w:val="en-US" w:eastAsia="zh-CN"/>
        </w:rPr>
        <w:t>调查显示，有71.35%的单位对毕业生的需求增加，28.13%的单位对毕业生的需求基本持平，其他0.00%的单位未来几年对大学毕业生的需求减少。</w:t>
      </w:r>
      <w:r>
        <w:rPr>
          <w:rFonts w:hint="eastAsia" w:ascii="Times New Roman" w:hAnsi="Times New Roman" w:cs="Times New Roman"/>
          <w:highlight w:val="none"/>
          <w:lang w:val="en-US" w:eastAsia="zh-CN"/>
        </w:rPr>
        <w:t>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3820160"/>
            <wp:effectExtent l="0" t="0" r="6350" b="1270"/>
            <wp:docPr id="79" name="图表 79" descr="7b0a202020202263686172745265734964223a20223230343733343130220a7d0a" title="${chart-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单位未来几年对大学毕业生的需求趋势</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单位招聘毕业生是否注重专业对口</w:t>
      </w:r>
    </w:p>
    <w:p>
      <w:pPr>
        <w:bidi w:val="0"/>
        <w:rPr>
          <w:rFonts w:hint="eastAsia"/>
          <w:highlight w:val="none"/>
          <w:lang w:val="en-US" w:eastAsia="zh-CN"/>
        </w:rPr>
      </w:pPr>
      <w:r>
        <w:rPr>
          <w:rFonts w:hint="eastAsia"/>
          <w:highlight w:val="none"/>
          <w:lang w:val="en-US" w:eastAsia="zh-CN"/>
        </w:rPr>
        <w:t>调查显示，27.60%的单位是很注重毕业生是否与专业对口，61.46%的单位是比较注重毕业生是否与专业对口。</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2137410"/>
            <wp:effectExtent l="0" t="0" r="6350" b="0"/>
            <wp:docPr id="80" name="图表 80" descr="7b0a202020202263686172745265734964223a20223230343733343130220a7d0a" title="${chart-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单位招聘毕业生是否注重专业对口</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单位最看重的工作能力</w:t>
      </w:r>
    </w:p>
    <w:p>
      <w:pPr>
        <w:bidi w:val="0"/>
        <w:jc w:val="left"/>
        <w:rPr>
          <w:rFonts w:hint="default"/>
          <w:highlight w:val="none"/>
          <w:lang w:val="en-US" w:eastAsia="zh-CN"/>
        </w:rPr>
      </w:pPr>
      <w:r>
        <w:rPr>
          <w:rFonts w:hint="eastAsia"/>
          <w:highlight w:val="none"/>
          <w:lang w:val="en-US" w:eastAsia="zh-CN"/>
        </w:rPr>
        <w:t>调查显示，在毕业生的独立工作、分析解决问题的能力是单位最看重的，占比79.17%，其次是组织管理、人际交往能力占比14.06%。</w:t>
      </w:r>
      <w:r>
        <w:rPr>
          <w:rFonts w:hint="eastAsia" w:ascii="Times New Roman" w:hAnsi="Times New Roman" w:cs="Times New Roman"/>
          <w:highlight w:val="none"/>
          <w:lang w:val="en-US" w:eastAsia="zh-CN"/>
        </w:rPr>
        <w:t>详见下图。</w:t>
      </w:r>
    </w:p>
    <w:p>
      <w:pPr>
        <w:bidi w:val="0"/>
        <w:ind w:left="0" w:leftChars="0" w:firstLine="0" w:firstLineChars="0"/>
        <w:rPr>
          <w:rFonts w:hint="eastAsia"/>
          <w:highlight w:val="none"/>
          <w:lang w:val="en-US" w:eastAsia="zh-CN"/>
        </w:rPr>
      </w:pPr>
      <w:r>
        <w:rPr>
          <w:rFonts w:hint="eastAsia"/>
          <w:highlight w:val="none"/>
          <w:lang w:eastAsia="zh-CN"/>
        </w:rPr>
        <w:drawing>
          <wp:inline distT="0" distB="0" distL="114300" distR="114300">
            <wp:extent cx="5455920" cy="2089785"/>
            <wp:effectExtent l="0" t="0" r="6350" b="4445"/>
            <wp:docPr id="81" name="图表 81" descr="7b0a202020202263686172745265734964223a20223230343733343130220a7d0a" title="${chart-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单位最看中的工作能力</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单位最关注毕业生的学习成绩</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eastAsia="宋体"/>
          <w:highlight w:val="none"/>
          <w:lang w:eastAsia="zh-CN"/>
        </w:rPr>
      </w:pPr>
      <w:r>
        <w:rPr>
          <w:rFonts w:hint="eastAsia"/>
          <w:highlight w:val="none"/>
          <w:lang w:val="en-US" w:eastAsia="zh-CN"/>
        </w:rPr>
        <w:t>调查显示，专业课成绩和实践、实习成绩是用人单位最关注的学习成绩，分别占比57.29%和24.48%，英语成绩、计算机成绩排在最后占比3.13%。</w:t>
      </w:r>
      <w:r>
        <w:rPr>
          <w:rFonts w:hint="eastAsia" w:ascii="Times New Roman" w:hAnsi="Times New Roman" w:cs="Times New Roman"/>
          <w:highlight w:val="none"/>
          <w:lang w:val="en-US" w:eastAsia="zh-CN"/>
        </w:rPr>
        <w:t>详见下图。</w:t>
      </w:r>
      <w:r>
        <w:rPr>
          <w:rFonts w:hint="eastAsia"/>
          <w:highlight w:val="none"/>
          <w:lang w:eastAsia="zh-CN"/>
        </w:rPr>
        <w:drawing>
          <wp:inline distT="0" distB="0" distL="114300" distR="114300">
            <wp:extent cx="5455920" cy="2500630"/>
            <wp:effectExtent l="0" t="0" r="6350" b="3810"/>
            <wp:docPr id="82" name="图表 82" descr="7b0a202020202263686172745265734964223a20223230343733343130220a7d0a" title="${chart-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单位最关注毕业生的哪类学习成绩</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单位在招聘时，注重学生哪些方面素养</w:t>
      </w:r>
    </w:p>
    <w:p>
      <w:pPr>
        <w:bidi w:val="0"/>
        <w:rPr>
          <w:rFonts w:hint="default"/>
          <w:highlight w:val="none"/>
          <w:lang w:val="en-US" w:eastAsia="zh-CN"/>
        </w:rPr>
      </w:pPr>
      <w:r>
        <w:rPr>
          <w:rFonts w:hint="eastAsia"/>
          <w:highlight w:val="none"/>
          <w:lang w:val="en-US" w:eastAsia="zh-CN"/>
        </w:rPr>
        <w:t>调查显示，用人单位注重的是毕业的毕业生综合素质（协作精神、人际沟通能力、创新能力、解决问题的能力等）和社会实践经历或工作经验，对于刚毕业的毕业生工作经验不是用人单位最注重的。</w:t>
      </w:r>
      <w:r>
        <w:rPr>
          <w:rFonts w:hint="eastAsia" w:ascii="Times New Roman" w:hAnsi="Times New Roman" w:cs="Times New Roman"/>
          <w:highlight w:val="none"/>
          <w:lang w:val="en-US" w:eastAsia="zh-CN"/>
        </w:rPr>
        <w:t>详见下图。</w:t>
      </w:r>
    </w:p>
    <w:p>
      <w:pPr>
        <w:bidi w:val="0"/>
        <w:ind w:left="0" w:leftChars="0" w:firstLine="0" w:firstLineChars="0"/>
        <w:rPr>
          <w:rFonts w:hint="eastAsia"/>
          <w:highlight w:val="none"/>
          <w:lang w:val="en-US" w:eastAsia="zh-CN"/>
        </w:rPr>
      </w:pPr>
      <w:r>
        <w:rPr>
          <w:rFonts w:hint="eastAsia"/>
          <w:highlight w:val="none"/>
          <w:lang w:eastAsia="zh-CN"/>
        </w:rPr>
        <w:drawing>
          <wp:inline distT="0" distB="0" distL="114300" distR="114300">
            <wp:extent cx="5455920" cy="4486275"/>
            <wp:effectExtent l="0" t="0" r="6350" b="4445"/>
            <wp:docPr id="83" name="图表 83" descr="7b0a202020202263686172745265734964223a20223230343733343130220a7d0a" title="${chart-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单位在招聘时，注重学生哪些方面素养</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单位在面试时，主要考核学生的哪些方面</w:t>
      </w:r>
    </w:p>
    <w:p>
      <w:pPr>
        <w:bidi w:val="0"/>
        <w:rPr>
          <w:rFonts w:hint="eastAsia"/>
          <w:highlight w:val="none"/>
          <w:lang w:val="en-US" w:eastAsia="zh-CN"/>
        </w:rPr>
      </w:pPr>
      <w:r>
        <w:rPr>
          <w:rFonts w:hint="eastAsia"/>
          <w:highlight w:val="none"/>
          <w:lang w:val="en-US" w:eastAsia="zh-CN"/>
        </w:rPr>
        <w:t>调查显示，在面试环节中，用人单位首先考核的是毕业生的协作精神、人际沟通能力，看其是否能满足岗位需求，其次是毕业生的专业素养，文字表达能力排在最后，这与面试的环节有关。</w:t>
      </w:r>
      <w:r>
        <w:rPr>
          <w:rFonts w:hint="eastAsia" w:ascii="Times New Roman" w:hAnsi="Times New Roman" w:cs="Times New Roman"/>
          <w:highlight w:val="none"/>
          <w:lang w:val="en-US" w:eastAsia="zh-CN"/>
        </w:rPr>
        <w:t>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4975860"/>
            <wp:effectExtent l="0" t="0" r="6350" b="635"/>
            <wp:docPr id="84" name="图表 84" descr="7b0a202020202263686172745265734964223a20223230343733343130220a7d0a" title="${chart-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单位在面试时，主要考核学生的哪些方面</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面试中毕业生整体表现</w:t>
      </w:r>
    </w:p>
    <w:p>
      <w:pPr>
        <w:bidi w:val="0"/>
        <w:rPr>
          <w:rFonts w:hint="eastAsia"/>
          <w:highlight w:val="none"/>
          <w:lang w:val="en-US" w:eastAsia="zh-CN"/>
        </w:rPr>
      </w:pPr>
      <w:r>
        <w:rPr>
          <w:rFonts w:hint="eastAsia"/>
          <w:highlight w:val="none"/>
          <w:lang w:val="en-US" w:eastAsia="zh-CN"/>
        </w:rPr>
        <w:t>调查显示，毕业生整体表现优秀。</w:t>
      </w:r>
      <w:r>
        <w:rPr>
          <w:rFonts w:hint="eastAsia" w:ascii="Times New Roman" w:hAnsi="Times New Roman" w:cs="Times New Roman"/>
          <w:highlight w:val="none"/>
          <w:lang w:val="en-US" w:eastAsia="zh-CN"/>
        </w:rPr>
        <w:t>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1986915"/>
            <wp:effectExtent l="0" t="0" r="6350" b="10160"/>
            <wp:docPr id="85" name="图表 85" descr="7b0a202020202263686172745265734964223a20223230343733343130220a7d0a" title="${chart-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面试中毕业生整体表现</w:t>
      </w:r>
    </w:p>
    <w:p>
      <w:pPr>
        <w:pStyle w:val="3"/>
        <w:numPr>
          <w:ilvl w:val="0"/>
          <w:numId w:val="14"/>
        </w:numPr>
        <w:bidi w:val="0"/>
        <w:rPr>
          <w:rFonts w:hint="eastAsia"/>
          <w:highlight w:val="none"/>
          <w:lang w:val="en-US" w:eastAsia="zh-CN"/>
        </w:rPr>
      </w:pPr>
      <w:bookmarkStart w:id="283" w:name="_Toc22764"/>
      <w:bookmarkStart w:id="284" w:name="_Toc4598"/>
      <w:bookmarkStart w:id="285" w:name="_Toc19752_WPSOffice_Level2"/>
      <w:bookmarkStart w:id="286" w:name="_Toc13763_WPSOffice_Level2"/>
      <w:bookmarkStart w:id="287" w:name="_Toc3708"/>
      <w:r>
        <w:rPr>
          <w:rFonts w:hint="eastAsia"/>
          <w:highlight w:val="none"/>
          <w:lang w:val="en-US" w:eastAsia="zh-CN"/>
        </w:rPr>
        <w:t>用人单位对教育教学的反馈</w:t>
      </w:r>
      <w:bookmarkEnd w:id="283"/>
      <w:bookmarkEnd w:id="284"/>
      <w:bookmarkEnd w:id="285"/>
      <w:bookmarkEnd w:id="286"/>
      <w:bookmarkEnd w:id="287"/>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毕业生在单位表现好的三项</w:t>
      </w:r>
    </w:p>
    <w:p>
      <w:pPr>
        <w:bidi w:val="0"/>
        <w:rPr>
          <w:rFonts w:hint="eastAsia" w:ascii="宋体" w:hAnsi="宋体" w:eastAsia="宋体" w:cs="宋体"/>
          <w:sz w:val="28"/>
          <w:szCs w:val="28"/>
          <w:highlight w:val="none"/>
          <w:lang w:val="en-US" w:eastAsia="zh-CN"/>
        </w:rPr>
      </w:pPr>
      <w:r>
        <w:rPr>
          <w:rFonts w:hint="eastAsia"/>
          <w:highlight w:val="none"/>
          <w:lang w:val="en-US" w:eastAsia="zh-CN"/>
        </w:rPr>
        <w:t>调查显示，创新能力是单位招聘时最注重的，也是我校毕业生表现最好的，其次是实际操作，另外一项是知识结构，这和用人单位的需求完美契合。</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6513830"/>
            <wp:effectExtent l="0" t="0" r="6350" b="6350"/>
            <wp:docPr id="124" name="图表 124" descr="7b0a202020202263686172745265734964223a20223230343733343130220a7d0a" title="${chart-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毕业生在单位表现好的三项</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毕业生在单位的整体表现</w:t>
      </w:r>
    </w:p>
    <w:p>
      <w:pPr>
        <w:bidi w:val="0"/>
        <w:rPr>
          <w:rFonts w:hint="eastAsia"/>
          <w:highlight w:val="none"/>
          <w:lang w:val="en-US" w:eastAsia="zh-CN"/>
        </w:rPr>
      </w:pPr>
      <w:r>
        <w:rPr>
          <w:rFonts w:hint="eastAsia"/>
          <w:highlight w:val="none"/>
          <w:lang w:val="en-US" w:eastAsia="zh-CN"/>
        </w:rPr>
        <w:t>调查显示，毕业在工作期间整体表现优秀，96.87%的调研单位认为我校毕业生整体表现好。</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1948815"/>
            <wp:effectExtent l="0" t="0" r="6350" b="5080"/>
            <wp:docPr id="86" name="图表 86" descr="7b0a202020202263686172745265734964223a20223230343733343130220a7d0a" title="${chart-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毕业生在单位的整体表现</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单位招录毕业生的首要理由</w:t>
      </w:r>
    </w:p>
    <w:p>
      <w:pPr>
        <w:bidi w:val="0"/>
        <w:rPr>
          <w:rFonts w:hint="default"/>
          <w:highlight w:val="none"/>
          <w:lang w:val="en-US" w:eastAsia="zh-CN"/>
        </w:rPr>
      </w:pPr>
      <w:r>
        <w:rPr>
          <w:rFonts w:hint="eastAsia"/>
          <w:highlight w:val="none"/>
          <w:lang w:val="en-US" w:eastAsia="zh-CN"/>
        </w:rPr>
        <w:t>调查显示，在录用我校毕业生首要理由中，综合素质较高排名第一，占比36.46%，另外27.60%的单位认为专业基础知识扎实。</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3034665"/>
            <wp:effectExtent l="0" t="0" r="6350" b="9525"/>
            <wp:docPr id="125" name="图表 125" descr="7b0a202020202263686172745265734964223a20223230343733343130220a7d0a" title="${chart-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单位招录毕业生的首要理由</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毕业生在专业及综合知识储备情况</w:t>
      </w:r>
    </w:p>
    <w:p>
      <w:pPr>
        <w:bidi w:val="0"/>
        <w:jc w:val="left"/>
        <w:rPr>
          <w:rFonts w:hint="eastAsia"/>
          <w:highlight w:val="none"/>
          <w:lang w:val="en-US" w:eastAsia="zh-CN"/>
        </w:rPr>
      </w:pPr>
      <w:r>
        <w:rPr>
          <w:rFonts w:hint="eastAsia"/>
          <w:highlight w:val="none"/>
          <w:lang w:val="en-US" w:eastAsia="zh-CN"/>
        </w:rPr>
        <w:t>调查显示，20.83%的单位认为我校毕业生在专业及综合知识储备上非常充足，72.40%的单位认为比较充足。详见下图。</w:t>
      </w:r>
      <w:r>
        <w:rPr>
          <w:rFonts w:hint="eastAsia" w:eastAsia="宋体"/>
          <w:highlight w:val="none"/>
          <w:lang w:eastAsia="zh-CN"/>
        </w:rPr>
        <w:drawing>
          <wp:inline distT="0" distB="0" distL="114300" distR="114300">
            <wp:extent cx="5455920" cy="2282190"/>
            <wp:effectExtent l="0" t="0" r="6350" b="6350"/>
            <wp:docPr id="126" name="图表 126" descr="7b0a202020202263686172745265734964223a20223230343733343130220a7d0a" title="${chart-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毕业生在单位从上岗到胜任工作的适应情况</w:t>
      </w:r>
    </w:p>
    <w:p>
      <w:pPr>
        <w:bidi w:val="0"/>
        <w:rPr>
          <w:rFonts w:hint="default"/>
          <w:highlight w:val="none"/>
          <w:lang w:val="en-US" w:eastAsia="zh-CN"/>
        </w:rPr>
      </w:pPr>
      <w:r>
        <w:rPr>
          <w:rFonts w:hint="eastAsia"/>
          <w:highlight w:val="none"/>
          <w:lang w:val="en-US" w:eastAsia="zh-CN"/>
        </w:rPr>
        <w:t>调查显示，69.27%的毕业生在单位工作考核中，能够快速的适应工作岗位，另外更有21.35%的毕业生能够很快的适应工作岗位。详见下图。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2314575"/>
            <wp:effectExtent l="0" t="0" r="6350" b="6350"/>
            <wp:docPr id="87" name="图表 87" descr="7b0a202020202263686172745265734964223a20223230343733343130220a7d0a" title="${chart-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毕业生在单位从上岗到胜任工作的适应情况</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毕业生在人格素质各方面的表现</w:t>
      </w:r>
    </w:p>
    <w:p>
      <w:pPr>
        <w:bidi w:val="0"/>
        <w:rPr>
          <w:rFonts w:hint="eastAsia"/>
          <w:highlight w:val="none"/>
          <w:lang w:val="en-US" w:eastAsia="zh-CN"/>
        </w:rPr>
      </w:pPr>
      <w:r>
        <w:rPr>
          <w:rFonts w:hint="eastAsia"/>
          <w:highlight w:val="none"/>
          <w:lang w:val="en-US" w:eastAsia="zh-CN"/>
        </w:rPr>
        <w:t>调查显示，毕业生在人格素质各方面的表现情况如下表。</w:t>
      </w:r>
    </w:p>
    <w:p>
      <w:pPr>
        <w:bidi w:val="0"/>
        <w:ind w:left="0" w:leftChars="0" w:firstLine="0" w:firstLineChars="0"/>
        <w:jc w:val="center"/>
        <w:rPr>
          <w:rFonts w:hint="eastAsia"/>
          <w:highlight w:val="none"/>
          <w:lang w:val="en-US" w:eastAsia="zh-CN"/>
        </w:rPr>
      </w:pPr>
      <w:r>
        <w:rPr>
          <w:rFonts w:hint="eastAsia" w:ascii="宋体" w:hAnsi="宋体" w:cs="宋体"/>
          <w:kern w:val="2"/>
          <w:sz w:val="21"/>
          <w:szCs w:val="21"/>
          <w:highlight w:val="none"/>
          <w:lang w:val="en-US" w:eastAsia="zh-CN" w:bidi="ar-SA"/>
        </w:rPr>
        <w:t xml:space="preserve">表 </w:t>
      </w:r>
      <w:r>
        <w:rPr>
          <w:rFonts w:hint="eastAsia" w:ascii="宋体" w:hAnsi="宋体" w:eastAsia="宋体" w:cs="宋体"/>
          <w:kern w:val="2"/>
          <w:sz w:val="21"/>
          <w:szCs w:val="21"/>
          <w:highlight w:val="none"/>
          <w:lang w:val="en-US" w:eastAsia="zh-CN" w:bidi="ar-SA"/>
        </w:rPr>
        <w:t>毕业生在人格素质各方面的表现</w:t>
      </w:r>
    </w:p>
    <w:tbl>
      <w:tblPr>
        <w:tblStyle w:val="17"/>
        <w:tblpPr w:leftFromText="180" w:rightFromText="180" w:vertAnchor="text" w:tblpX="1" w:tblpY="1"/>
        <w:tblOverlap w:val="never"/>
        <w:tblW w:w="4997" w:type="pct"/>
        <w:tblInd w:w="0" w:type="dxa"/>
        <w:tblLayout w:type="autofit"/>
        <w:tblCellMar>
          <w:top w:w="0" w:type="dxa"/>
          <w:left w:w="108" w:type="dxa"/>
          <w:bottom w:w="0" w:type="dxa"/>
          <w:right w:w="108" w:type="dxa"/>
        </w:tblCellMar>
      </w:tblPr>
      <w:tblGrid>
        <w:gridCol w:w="2865"/>
        <w:gridCol w:w="1486"/>
        <w:gridCol w:w="1486"/>
        <w:gridCol w:w="1486"/>
        <w:gridCol w:w="1488"/>
      </w:tblGrid>
      <w:tr>
        <w:tblPrEx>
          <w:tblCellMar>
            <w:top w:w="0" w:type="dxa"/>
            <w:left w:w="108" w:type="dxa"/>
            <w:bottom w:w="0" w:type="dxa"/>
            <w:right w:w="108" w:type="dxa"/>
          </w:tblCellMar>
        </w:tblPrEx>
        <w:trPr>
          <w:trHeight w:val="454" w:hRule="atLeast"/>
        </w:trPr>
        <w:tc>
          <w:tcPr>
            <w:tcW w:w="1625"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center"/>
              <w:textAlignment w:val="center"/>
              <w:rPr>
                <w:rFonts w:hint="eastAsia" w:ascii="宋体" w:hAnsi="宋体" w:eastAsia="宋体" w:cs="宋体"/>
                <w:b/>
                <w:bCs/>
                <w:color w:val="000000"/>
                <w:sz w:val="21"/>
                <w:szCs w:val="21"/>
                <w:highlight w:val="none"/>
                <w:lang w:eastAsia="zh-CN" w:bidi="ar"/>
              </w:rPr>
            </w:pPr>
            <w:r>
              <w:rPr>
                <w:rFonts w:hint="eastAsia" w:ascii="宋体" w:hAnsi="宋体" w:cs="宋体"/>
                <w:b/>
                <w:bCs/>
                <w:color w:val="000000"/>
                <w:sz w:val="21"/>
                <w:szCs w:val="21"/>
                <w:highlight w:val="none"/>
                <w:lang w:val="en-US" w:eastAsia="zh-CN" w:bidi="ar"/>
              </w:rPr>
              <w:t>项目</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val="en-US" w:eastAsia="zh-CN" w:bidi="ar"/>
              </w:rPr>
            </w:pPr>
            <w:r>
              <w:rPr>
                <w:rFonts w:hint="eastAsia" w:ascii="宋体" w:hAnsi="宋体" w:eastAsia="宋体" w:cs="宋体"/>
                <w:b/>
                <w:bCs/>
                <w:color w:val="000000"/>
                <w:sz w:val="21"/>
                <w:szCs w:val="21"/>
                <w:highlight w:val="none"/>
                <w:lang w:val="en-US" w:eastAsia="zh-CN" w:bidi="ar"/>
              </w:rPr>
              <w:t>很好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一般</w:t>
            </w:r>
          </w:p>
        </w:tc>
        <w:tc>
          <w:tcPr>
            <w:tcW w:w="844"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较差</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自我调控能力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41.67%</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54.69%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3.65%</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与他人相处能力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43.75%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53.65%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2.60%</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适应环境能力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45.83%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51.56%</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2.60%</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表达与表现能力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41.15%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53.65%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5.21%</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沟通与合作能力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45.31%</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52.60%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2.08%</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实践与操作实施能力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41.15%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51.56%</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7.29%</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学习与创新开拓能力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38.54%</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54.17%</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6.77%</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0.52%</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组织与影响他人能力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42.19%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48.96%</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8.33%</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0.52%</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工作责任心</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47.92%</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47.40%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4.69%</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理想信念与道德自律</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44.27%</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52.08%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3.65%</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bl>
    <w:p>
      <w:pPr>
        <w:bidi w:val="0"/>
        <w:rPr>
          <w:rFonts w:hint="eastAsia"/>
          <w:highlight w:val="none"/>
          <w:lang w:val="en-US" w:eastAsia="zh-CN"/>
        </w:rPr>
      </w:pP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目前的专业设置、课程安排与社会需求是否适应</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083435"/>
            <wp:effectExtent l="0" t="0" r="6350" b="0"/>
            <wp:docPr id="88" name="图表 88" descr="7b0a202020202263686172745265734964223a20223230343733343130220a7d0a" title="${chart-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目前的专业设置、课程安排与社会需求是否适应</w:t>
      </w:r>
    </w:p>
    <w:p>
      <w:pPr>
        <w:bidi w:val="0"/>
        <w:rPr>
          <w:rFonts w:hint="eastAsia"/>
          <w:highlight w:val="none"/>
          <w:lang w:val="en-US" w:eastAsia="zh-CN"/>
        </w:rPr>
      </w:pPr>
      <w:r>
        <w:rPr>
          <w:rFonts w:hint="eastAsia"/>
          <w:highlight w:val="none"/>
          <w:lang w:val="en-US" w:eastAsia="zh-CN"/>
        </w:rPr>
        <w:t>由上图可以看出，67.71%的单位认为我校专业设置、课程安排与社会需求适应是较适应的，有25.00%的单位认为适应性很适应。没有单位认为我校专业设置、课程安排与社会需求是不太适应的。详见上图。详见上图。</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毕业生在智力、知识各方面的表现评价</w:t>
      </w:r>
    </w:p>
    <w:p>
      <w:pPr>
        <w:bidi w:val="0"/>
        <w:rPr>
          <w:rFonts w:hint="eastAsia"/>
          <w:highlight w:val="none"/>
          <w:lang w:val="en-US" w:eastAsia="zh-CN"/>
        </w:rPr>
      </w:pPr>
      <w:r>
        <w:rPr>
          <w:rFonts w:hint="eastAsia"/>
          <w:highlight w:val="none"/>
          <w:lang w:val="en-US" w:eastAsia="zh-CN"/>
        </w:rPr>
        <w:t>调查显示，我校毕业生在智力、知识各方面的表现情况如下表。</w:t>
      </w:r>
    </w:p>
    <w:p>
      <w:pPr>
        <w:bidi w:val="0"/>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 xml:space="preserve">表 </w:t>
      </w:r>
      <w:r>
        <w:rPr>
          <w:rFonts w:hint="eastAsia" w:ascii="宋体" w:hAnsi="宋体" w:eastAsia="宋体" w:cs="宋体"/>
          <w:kern w:val="2"/>
          <w:sz w:val="21"/>
          <w:szCs w:val="21"/>
          <w:highlight w:val="none"/>
          <w:lang w:val="en-US" w:eastAsia="zh-CN" w:bidi="ar-SA"/>
        </w:rPr>
        <w:t>毕业生在智力、知识各方面的表现好的方面</w:t>
      </w:r>
    </w:p>
    <w:tbl>
      <w:tblPr>
        <w:tblStyle w:val="17"/>
        <w:tblpPr w:leftFromText="180" w:rightFromText="180" w:vertAnchor="text" w:tblpX="1" w:tblpY="1"/>
        <w:tblOverlap w:val="never"/>
        <w:tblW w:w="4997" w:type="pct"/>
        <w:tblInd w:w="0" w:type="dxa"/>
        <w:tblLayout w:type="autofit"/>
        <w:tblCellMar>
          <w:top w:w="0" w:type="dxa"/>
          <w:left w:w="108" w:type="dxa"/>
          <w:bottom w:w="0" w:type="dxa"/>
          <w:right w:w="108" w:type="dxa"/>
        </w:tblCellMar>
      </w:tblPr>
      <w:tblGrid>
        <w:gridCol w:w="2863"/>
        <w:gridCol w:w="1486"/>
        <w:gridCol w:w="1486"/>
        <w:gridCol w:w="1487"/>
        <w:gridCol w:w="1489"/>
      </w:tblGrid>
      <w:tr>
        <w:tblPrEx>
          <w:tblCellMar>
            <w:top w:w="0" w:type="dxa"/>
            <w:left w:w="108" w:type="dxa"/>
            <w:bottom w:w="0" w:type="dxa"/>
            <w:right w:w="108" w:type="dxa"/>
          </w:tblCellMar>
        </w:tblPrEx>
        <w:trPr>
          <w:trHeight w:val="454" w:hRule="atLeast"/>
        </w:trPr>
        <w:tc>
          <w:tcPr>
            <w:tcW w:w="1624"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center"/>
              <w:textAlignment w:val="center"/>
              <w:rPr>
                <w:rFonts w:hint="eastAsia" w:ascii="宋体" w:hAnsi="宋体" w:eastAsia="宋体" w:cs="宋体"/>
                <w:b/>
                <w:bCs/>
                <w:color w:val="000000"/>
                <w:sz w:val="21"/>
                <w:szCs w:val="21"/>
                <w:highlight w:val="none"/>
                <w:lang w:eastAsia="zh-CN" w:bidi="ar"/>
              </w:rPr>
            </w:pPr>
            <w:r>
              <w:rPr>
                <w:rFonts w:hint="eastAsia" w:ascii="宋体" w:hAnsi="宋体" w:cs="宋体"/>
                <w:b/>
                <w:bCs/>
                <w:color w:val="000000"/>
                <w:sz w:val="21"/>
                <w:szCs w:val="21"/>
                <w:highlight w:val="none"/>
                <w:lang w:val="en-US" w:eastAsia="zh-CN" w:bidi="ar"/>
              </w:rPr>
              <w:t>项目</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val="en-US" w:eastAsia="zh-CN" w:bidi="ar"/>
              </w:rPr>
            </w:pPr>
            <w:r>
              <w:rPr>
                <w:rFonts w:hint="eastAsia" w:ascii="宋体" w:hAnsi="宋体" w:eastAsia="宋体" w:cs="宋体"/>
                <w:b/>
                <w:bCs/>
                <w:color w:val="000000"/>
                <w:sz w:val="21"/>
                <w:szCs w:val="21"/>
                <w:highlight w:val="none"/>
                <w:lang w:val="en-US" w:eastAsia="zh-CN" w:bidi="ar"/>
              </w:rPr>
              <w:t>很好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一般</w:t>
            </w:r>
          </w:p>
        </w:tc>
        <w:tc>
          <w:tcPr>
            <w:tcW w:w="844"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较差</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政治素养</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51.04%</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46.35%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2.60%</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专业水平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46.88%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51.04%</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2.08%</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职业能力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47.92%</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48.44%</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3.65%</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外语水平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39.58%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50.52%</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9.38%</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0.52%</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文字表达水平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42.19%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52.60%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5.21%</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计算机操作水平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42.19%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52.60%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5.21%</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bl>
    <w:p>
      <w:pPr>
        <w:bidi w:val="0"/>
        <w:ind w:left="0" w:leftChars="0" w:firstLine="0" w:firstLineChars="0"/>
        <w:jc w:val="center"/>
        <w:rPr>
          <w:rFonts w:hint="eastAsia" w:ascii="宋体" w:hAnsi="宋体" w:eastAsia="宋体" w:cs="宋体"/>
          <w:kern w:val="2"/>
          <w:sz w:val="21"/>
          <w:szCs w:val="21"/>
          <w:highlight w:val="none"/>
          <w:lang w:val="en-US" w:eastAsia="zh-CN" w:bidi="ar-SA"/>
        </w:rPr>
      </w:pP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在人才培养和教学方面应做哪些改革</w:t>
      </w:r>
    </w:p>
    <w:p>
      <w:pPr>
        <w:bidi w:val="0"/>
        <w:rPr>
          <w:rFonts w:hint="eastAsia"/>
          <w:highlight w:val="none"/>
          <w:lang w:val="en-US" w:eastAsia="zh-CN"/>
        </w:rPr>
      </w:pPr>
      <w:r>
        <w:rPr>
          <w:rFonts w:hint="eastAsia"/>
          <w:highlight w:val="none"/>
          <w:lang w:val="en-US" w:eastAsia="zh-CN"/>
        </w:rPr>
        <w:t>调查显示，51.04%的单位希望我校强化教学实习、见习及社会实践环节，加强应用能力培养，35.42%的单位希望我校加强基础知识培养、拓宽知识面，然后是知识传授要结合“前沿”，教学方法要灵活多样，教学内容要“与时俱进”。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5104130"/>
            <wp:effectExtent l="0" t="0" r="6350" b="1905"/>
            <wp:docPr id="128" name="图表 128" descr="7b0a202020202263686172745265734964223a20223230343733343130220a7d0a" title="${chart-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在人才培养和教学方面应做哪些改革</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对我校学生就业工作服务是否满意</w:t>
      </w:r>
    </w:p>
    <w:p>
      <w:pPr>
        <w:bidi w:val="0"/>
        <w:rPr>
          <w:rFonts w:hint="eastAsia"/>
          <w:highlight w:val="none"/>
          <w:lang w:val="en-US" w:eastAsia="zh-CN"/>
        </w:rPr>
      </w:pPr>
      <w:r>
        <w:rPr>
          <w:rFonts w:hint="eastAsia"/>
          <w:highlight w:val="none"/>
          <w:lang w:val="en-US" w:eastAsia="zh-CN"/>
        </w:rPr>
        <w:t>调查显示，98.44%的受访单位对我校学生就业服务工作表示满意，没有单位表示不满意。详见下图。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072005"/>
            <wp:effectExtent l="0" t="0" r="6350" b="635"/>
            <wp:docPr id="89" name="图表 89" descr="7b0a202020202263686172745265734964223a20223230343733343130220a7d0a" title="${chart-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对我校学生就业工作服务是否满意</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校就业服务工作在哪些方面需要加强</w:t>
      </w:r>
    </w:p>
    <w:p>
      <w:pPr>
        <w:bidi w:val="0"/>
        <w:rPr>
          <w:rFonts w:hint="eastAsia"/>
          <w:highlight w:val="none"/>
          <w:lang w:val="en-US" w:eastAsia="zh-CN"/>
        </w:rPr>
      </w:pPr>
      <w:r>
        <w:rPr>
          <w:rFonts w:hint="eastAsia"/>
          <w:highlight w:val="none"/>
          <w:lang w:val="en-US" w:eastAsia="zh-CN"/>
        </w:rPr>
        <w:t>调查显示，增强校园招聘会的宣传力度是当前用人单位最希望加强的就业服务工作，其次是加强学生求职、择业方面培训指导，最后是其他。详见下图。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118995"/>
            <wp:effectExtent l="0" t="0" r="6350" b="7620"/>
            <wp:docPr id="90" name="图表 90" descr="7b0a202020202263686172745265734964223a20223230343733343130220a7d0a" title="${chart-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校就业服务工作在哪些方面需要加强</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目前大学生就业难的主要原因</w:t>
      </w:r>
    </w:p>
    <w:p>
      <w:pPr>
        <w:bidi w:val="0"/>
        <w:rPr>
          <w:rFonts w:hint="eastAsia"/>
          <w:highlight w:val="none"/>
          <w:lang w:val="en-US" w:eastAsia="zh-CN"/>
        </w:rPr>
      </w:pPr>
      <w:r>
        <w:rPr>
          <w:rFonts w:hint="eastAsia"/>
          <w:highlight w:val="none"/>
          <w:lang w:val="en-US" w:eastAsia="zh-CN"/>
        </w:rPr>
        <w:t>调查显示，毕业生就业期望过高是毕业生就业期望值过高用人单位认为大学生就业难的主要原因，其次是毕业生缺乏社会工作和实践经验和就业信息不对称。详见下图。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5419725"/>
            <wp:effectExtent l="0" t="0" r="6350" b="10160"/>
            <wp:docPr id="129" name="图表 129" descr="7b0a202020202263686172745265734964223a20223230343733343130220a7d0a" title="${chart-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目前大学生就业难的主要原因</w:t>
      </w:r>
    </w:p>
    <w:p>
      <w:pPr>
        <w:jc w:val="center"/>
        <w:rPr>
          <w:rFonts w:hint="eastAsia" w:ascii="宋体" w:hAnsi="宋体" w:cs="宋体"/>
          <w:b/>
          <w:bCs/>
          <w:highlight w:val="none"/>
        </w:rPr>
      </w:pPr>
    </w:p>
    <w:p>
      <w:pPr>
        <w:pStyle w:val="2"/>
        <w:bidi w:val="0"/>
        <w:rPr>
          <w:rFonts w:hint="eastAsia"/>
          <w:highlight w:val="none"/>
        </w:rPr>
      </w:pPr>
      <w:bookmarkStart w:id="288" w:name="_Toc13452"/>
      <w:bookmarkStart w:id="289" w:name="_Toc30551"/>
      <w:bookmarkStart w:id="290" w:name="_Toc16904"/>
      <w:r>
        <w:rPr>
          <w:rFonts w:hint="eastAsia"/>
          <w:highlight w:val="none"/>
        </w:rPr>
        <w:t>第</w:t>
      </w:r>
      <w:r>
        <w:rPr>
          <w:rFonts w:hint="eastAsia"/>
          <w:highlight w:val="none"/>
          <w:lang w:val="en-US" w:eastAsia="zh-CN"/>
        </w:rPr>
        <w:t>八</w:t>
      </w:r>
      <w:r>
        <w:rPr>
          <w:rFonts w:hint="eastAsia"/>
          <w:highlight w:val="none"/>
        </w:rPr>
        <w:t xml:space="preserve">部分 </w:t>
      </w:r>
      <w:bookmarkStart w:id="291" w:name="_Toc31124"/>
      <w:bookmarkStart w:id="292" w:name="_Toc469323044"/>
      <w:r>
        <w:rPr>
          <w:rFonts w:hint="eastAsia"/>
          <w:highlight w:val="none"/>
        </w:rPr>
        <w:t>毕业生就业工作的特色举措</w:t>
      </w:r>
      <w:bookmarkEnd w:id="288"/>
      <w:bookmarkEnd w:id="289"/>
      <w:bookmarkEnd w:id="290"/>
      <w:bookmarkEnd w:id="291"/>
      <w:bookmarkEnd w:id="292"/>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3" w:name="_Toc20775"/>
      <w:r>
        <w:rPr>
          <w:rFonts w:hint="eastAsia" w:ascii="宋体" w:hAnsi="宋体" w:cs="宋体"/>
          <w:b/>
          <w:bCs/>
          <w:sz w:val="28"/>
          <w:szCs w:val="28"/>
          <w:lang w:val="en-US" w:eastAsia="zh-CN"/>
        </w:rPr>
        <w:t>把毕业生就业工作摆在更加突出位置</w:t>
      </w:r>
      <w:bookmarkEnd w:id="293"/>
    </w:p>
    <w:p>
      <w:pPr>
        <w:bidi w:val="0"/>
        <w:rPr>
          <w:rFonts w:hint="eastAsia"/>
          <w:highlight w:val="none"/>
          <w:lang w:val="en-US" w:eastAsia="zh-CN"/>
        </w:rPr>
      </w:pPr>
      <w:r>
        <w:rPr>
          <w:rFonts w:hint="eastAsia"/>
          <w:highlight w:val="none"/>
          <w:lang w:val="en-US" w:eastAsia="zh-CN"/>
        </w:rPr>
        <w:t>1.强化统筹部署。学院把毕业生就业作为重中之重、摆在更加突出的位置，牵头成立高校毕业生就业工作专班，制定工作方案，明确任务清单，进一步优化工作机制，全力推进各项任务落实。按照“秋季校园招聘月”“寒假暖心行动”“春季攻坚行动”“百日冲刺行动”的部署，结合工作实际，统筹做好我院工作安排，落实落细各项工作要求，确保毕业生就业局势总体稳定。</w:t>
      </w:r>
    </w:p>
    <w:p>
      <w:pPr>
        <w:bidi w:val="0"/>
        <w:rPr>
          <w:rFonts w:hint="eastAsia"/>
          <w:highlight w:val="none"/>
          <w:lang w:val="en-US" w:eastAsia="zh-CN"/>
        </w:rPr>
      </w:pPr>
      <w:r>
        <w:rPr>
          <w:rFonts w:hint="eastAsia"/>
          <w:highlight w:val="none"/>
          <w:lang w:val="en-US" w:eastAsia="zh-CN"/>
        </w:rPr>
        <w:t>2.强化高校责任。做好学院毕业生就业工作的责任主体，主要负责同志是第一责任人，分管负责同志是直接责任人。加强学校党委组织领导，把就业工作列入学校党委常委会重要议题定期研究推进。建立健全“校—院（系）”两级就业工作领导小组，分别制定就业工作方案，分级落实工作责任。加强部门工作协同，完善激励考评机制，调动全校力量形成全员促就业工作合力。</w:t>
      </w:r>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4" w:name="_Toc19953"/>
      <w:r>
        <w:rPr>
          <w:rFonts w:hint="eastAsia" w:ascii="宋体" w:hAnsi="宋体" w:cs="宋体"/>
          <w:b/>
          <w:bCs/>
          <w:sz w:val="28"/>
          <w:szCs w:val="28"/>
          <w:lang w:val="en-US" w:eastAsia="zh-CN"/>
        </w:rPr>
        <w:t>大力开拓市场化社会化就业渠道</w:t>
      </w:r>
      <w:bookmarkEnd w:id="294"/>
    </w:p>
    <w:p>
      <w:pPr>
        <w:bidi w:val="0"/>
        <w:rPr>
          <w:rFonts w:hint="eastAsia"/>
          <w:highlight w:val="none"/>
          <w:lang w:val="en-US" w:eastAsia="zh-CN"/>
        </w:rPr>
      </w:pPr>
      <w:r>
        <w:rPr>
          <w:rFonts w:hint="eastAsia"/>
          <w:highlight w:val="none"/>
          <w:lang w:val="en-US" w:eastAsia="zh-CN"/>
        </w:rPr>
        <w:t>3.深入开展“访企拓岗”专项行动。学院持续深入开展“高校书记校长访企拓岗促就业专项行动”。学院书记、院长和校领导班子成员认真落实“两个100”要求，有针对性拓展就业市场；二级院系结合学科专业特点，精准有效访企拓岗，足质足量开拓就业岗位。结合毕业生就业需求，提升岗位的利用率和访企拓岗的实效性。通过访企拓岗深度了解行业企业的人才需求，深化人才培养改革，推动供需精准对接。　　</w:t>
      </w:r>
    </w:p>
    <w:p>
      <w:pPr>
        <w:bidi w:val="0"/>
        <w:rPr>
          <w:rFonts w:hint="eastAsia"/>
          <w:highlight w:val="none"/>
          <w:lang w:val="en-US" w:eastAsia="zh-CN"/>
        </w:rPr>
      </w:pPr>
      <w:r>
        <w:rPr>
          <w:rFonts w:hint="eastAsia"/>
          <w:highlight w:val="none"/>
          <w:lang w:val="en-US" w:eastAsia="zh-CN"/>
        </w:rPr>
        <w:t>4.推进实施“万企进校园”计划。学院充分发挥校园招聘主渠道作用，主动邀请用人单位进校开展招聘活动，提升每场校园招聘活动的实际效果。结合毕业生求职就业意愿，大力拓展岗位资源，努力为毕业生提供优质的就业岗位信息。支持院系积极开展小而精、专而优的小型专场招聘活动。加强校园招聘活动组织管理，认真审核校园招聘信息，确保校园招聘活动安全、规范、有序开展。</w:t>
      </w:r>
    </w:p>
    <w:p>
      <w:pPr>
        <w:bidi w:val="0"/>
        <w:rPr>
          <w:rFonts w:hint="eastAsia"/>
          <w:highlight w:val="none"/>
          <w:lang w:val="en-US" w:eastAsia="zh-CN"/>
        </w:rPr>
      </w:pPr>
      <w:r>
        <w:rPr>
          <w:rFonts w:hint="eastAsia"/>
          <w:highlight w:val="none"/>
          <w:lang w:val="en-US" w:eastAsia="zh-CN"/>
        </w:rPr>
        <w:t>5.全面推广使用国家大学生就业服务平台。优化升级国家大学生就业服务平台功能，深入开展“24365携手促就业精准服务”，持续加强就业岗位的互联共享和精准推送。学院组织就业工作人员、毕业班辅导员和有求职意愿的毕业生及时注册使用平台，确保就业政策、资讯、岗位信息等实现精准有效推送。　　</w:t>
      </w:r>
    </w:p>
    <w:p>
      <w:pPr>
        <w:bidi w:val="0"/>
        <w:rPr>
          <w:rFonts w:hint="eastAsia"/>
          <w:highlight w:val="none"/>
          <w:lang w:val="en-US" w:eastAsia="zh-CN"/>
        </w:rPr>
      </w:pPr>
      <w:r>
        <w:rPr>
          <w:rFonts w:hint="eastAsia"/>
          <w:highlight w:val="none"/>
          <w:lang w:val="en-US" w:eastAsia="zh-CN"/>
        </w:rPr>
        <w:t>6.加强分行业分区域就业市场建设。汇聚相关部门、行业协会、社会招聘机构等多方资源，着力建设一批区域性、行业性、联盟性高校毕业生就业市场。充分发挥全国普通高校毕业生就业创业指导委员会和行业协会作用，完善“分行业就指委+分行业协会”促就业工作机制，举办系列校企对接交流活动，加大力度建设分行业就业市场。深入开展供需对接就业育人项目，搭建人才供需对接平台，推动就业与培养有机联动。</w:t>
      </w:r>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5" w:name="_Toc8913"/>
      <w:r>
        <w:rPr>
          <w:rFonts w:hint="eastAsia" w:ascii="宋体" w:hAnsi="宋体" w:cs="宋体"/>
          <w:b/>
          <w:bCs/>
          <w:sz w:val="28"/>
          <w:szCs w:val="28"/>
          <w:lang w:val="en-US" w:eastAsia="zh-CN"/>
        </w:rPr>
        <w:t>充分发挥政策性岗位吸纳作用</w:t>
      </w:r>
      <w:bookmarkEnd w:id="295"/>
    </w:p>
    <w:p>
      <w:pPr>
        <w:bidi w:val="0"/>
        <w:rPr>
          <w:rFonts w:hint="eastAsia"/>
          <w:highlight w:val="none"/>
          <w:lang w:val="en-US" w:eastAsia="zh-CN"/>
        </w:rPr>
      </w:pPr>
      <w:r>
        <w:rPr>
          <w:rFonts w:hint="eastAsia"/>
          <w:highlight w:val="none"/>
          <w:lang w:val="en-US" w:eastAsia="zh-CN"/>
        </w:rPr>
        <w:t>7.大力挖掘基层就业空间。学院积极配合有关部门组织实施好“特岗计划”“三支一扶”“西部计划”等基层就业项目，拓展实施“城乡社区专项计划”“大学生乡村医生专项计划”。围绕落实推进乡村振兴战略，深入挖掘基层医疗卫生、养老服务、社会工作、司法辅助等就业机会，扩大实施地方基层项目。鼓励更多毕业生到中西部地区、东北地区、艰苦边远地区和基层一线就业创业。</w:t>
      </w:r>
    </w:p>
    <w:p>
      <w:pPr>
        <w:bidi w:val="0"/>
        <w:rPr>
          <w:rFonts w:hint="eastAsia"/>
          <w:highlight w:val="none"/>
          <w:lang w:val="en-US" w:eastAsia="zh-CN"/>
        </w:rPr>
      </w:pPr>
      <w:r>
        <w:rPr>
          <w:rFonts w:hint="eastAsia"/>
          <w:highlight w:val="none"/>
          <w:lang w:val="en-US" w:eastAsia="zh-CN"/>
        </w:rPr>
        <w:t>8.积极配合做好大学生征兵工作。学院密切军地协同，加强征兵工作站建设，加大征兵宣传进校园工作力度，畅通入伍绿色通道，配合兵役机关做好兵员预征预储、高校毕业生征集等工作，进一步推进以高校毕业生为重点的精准征集。按照有关规定落实好退役后复学、升学、学费资助等优惠政策，积极鼓励毕业生应征入伍。</w:t>
      </w:r>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6" w:name="_Toc9580"/>
      <w:r>
        <w:rPr>
          <w:rFonts w:hint="eastAsia" w:ascii="宋体" w:hAnsi="宋体" w:cs="宋体"/>
          <w:b/>
          <w:bCs/>
          <w:sz w:val="28"/>
          <w:szCs w:val="28"/>
          <w:lang w:val="en-US" w:eastAsia="zh-CN"/>
        </w:rPr>
        <w:t>推进构建高质量就业指导服务体系</w:t>
      </w:r>
      <w:bookmarkEnd w:id="296"/>
    </w:p>
    <w:p>
      <w:pPr>
        <w:bidi w:val="0"/>
        <w:rPr>
          <w:rFonts w:hint="eastAsia"/>
          <w:highlight w:val="none"/>
          <w:lang w:val="en-US" w:eastAsia="zh-CN"/>
        </w:rPr>
      </w:pPr>
      <w:r>
        <w:rPr>
          <w:rFonts w:hint="eastAsia"/>
          <w:highlight w:val="none"/>
          <w:lang w:val="en-US" w:eastAsia="zh-CN"/>
        </w:rPr>
        <w:t>9.加强就业教育和观念引导。将就业教育和观念引导作为“三全育人”的重要内容，推动就业教育与思政教育、专业教育深度融合，在专业课教学和实习实践等育人环节强化就业教育引导。深入开展“就业育人”主题教育活动，引导毕业生树立正确的成才观、职业观、就业观，客观看待个人条件和社会需求，从实际出发选择职业和工作岗位，主动投身艰苦地区、重点领域等国家需要的地方建功立业。开展基层就业卓越教师和毕业生推荐，做好先进典型选树和系列宣讲活动。</w:t>
      </w:r>
    </w:p>
    <w:p>
      <w:pPr>
        <w:bidi w:val="0"/>
        <w:rPr>
          <w:rFonts w:hint="eastAsia"/>
          <w:highlight w:val="none"/>
          <w:lang w:val="en-US" w:eastAsia="zh-CN"/>
        </w:rPr>
      </w:pPr>
      <w:r>
        <w:rPr>
          <w:rFonts w:hint="eastAsia"/>
          <w:highlight w:val="none"/>
          <w:lang w:val="en-US" w:eastAsia="zh-CN"/>
        </w:rPr>
        <w:t>10.加强生涯教育和就业指导。强化大学生生涯发展与就业指导课程建设，修订完善课程教学要求。推动各高校以全覆盖、精准化、特色化为目标，将课程建设作为强化就业指导服务的重要内容，作为必修课列入教学计划，给予学时学分保障。持续办好就业指导公益直播课，提供丰富优质课程资源。遴选打造一批优秀就业指导课程和教材。加强高素质专业化教师队伍培养，打造内外互补、专兼结合的就业指导教师队伍。充分运用现代信息技术，探索建立学生成长电子档案，为学生提供个性化、精准化、便捷化的就业指导服务。</w:t>
      </w:r>
    </w:p>
    <w:p>
      <w:pPr>
        <w:bidi w:val="0"/>
        <w:rPr>
          <w:rFonts w:hint="eastAsia"/>
          <w:highlight w:val="none"/>
          <w:lang w:val="en-US" w:eastAsia="zh-CN"/>
        </w:rPr>
      </w:pPr>
      <w:r>
        <w:rPr>
          <w:rFonts w:hint="eastAsia"/>
          <w:highlight w:val="none"/>
          <w:lang w:val="en-US" w:eastAsia="zh-CN"/>
        </w:rPr>
        <w:t>11.办好首届全国大学生职业规划大赛。学院积极举办校级初赛和决赛，全面提升大赛的覆盖面和实效性。学院鼓励将大赛内容设计同生涯发展与就业指导课程深度融合，切实增强大学生生涯规划意识，促进就业指导教师提升教学水平，帮助更多毕业生通过参赛提升职业规划和就业能力，顺利实现就业。</w:t>
      </w:r>
    </w:p>
    <w:p>
      <w:pPr>
        <w:bidi w:val="0"/>
        <w:rPr>
          <w:rFonts w:hint="eastAsia"/>
          <w:highlight w:val="none"/>
          <w:lang w:val="en-US" w:eastAsia="zh-CN"/>
        </w:rPr>
      </w:pPr>
      <w:r>
        <w:rPr>
          <w:rFonts w:hint="eastAsia"/>
          <w:highlight w:val="none"/>
          <w:lang w:val="en-US" w:eastAsia="zh-CN"/>
        </w:rPr>
        <w:t>12.引导强化就业实习实践。学院建立完善大学生就业实习管理制度，统筹协调就业实习与教学实习，组织引导大学生利用寒暑假时间积极参与就业实习实践。通过实习实践激发学生求职意愿、明确求职意向，帮助学生增强就业能力、获取就业机会。</w:t>
      </w:r>
    </w:p>
    <w:p>
      <w:pPr>
        <w:bidi w:val="0"/>
        <w:rPr>
          <w:rFonts w:hint="eastAsia"/>
          <w:highlight w:val="none"/>
          <w:lang w:val="en-US" w:eastAsia="zh-CN"/>
        </w:rPr>
      </w:pPr>
      <w:r>
        <w:rPr>
          <w:rFonts w:hint="eastAsia"/>
          <w:highlight w:val="none"/>
          <w:lang w:val="en-US" w:eastAsia="zh-CN"/>
        </w:rPr>
        <w:t>13.切实维护毕业生就业权益。学院积极营造平等就业环境，严格落实“三严禁”要求。加强就业安全教育和诚信教育，引导用人单位与毕业生及早签订就业协议书或劳动（聘用）合同并如实履约。及时发布求职就业预警信息，帮助毕业生防范求职风险。会同相关部门加强联合监管，依法严厉打击虚假招聘、售卖协议、“黑职介”“培训贷”等违法违规行为。</w:t>
      </w:r>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7" w:name="_Toc12566"/>
      <w:r>
        <w:rPr>
          <w:rFonts w:hint="eastAsia" w:ascii="宋体" w:hAnsi="宋体" w:cs="宋体"/>
          <w:b/>
          <w:bCs/>
          <w:sz w:val="28"/>
          <w:szCs w:val="28"/>
          <w:lang w:val="en-US" w:eastAsia="zh-CN"/>
        </w:rPr>
        <w:t>加强重点群体就业帮扶</w:t>
      </w:r>
      <w:bookmarkEnd w:id="297"/>
    </w:p>
    <w:p>
      <w:pPr>
        <w:bidi w:val="0"/>
        <w:rPr>
          <w:rFonts w:hint="eastAsia"/>
          <w:highlight w:val="none"/>
          <w:lang w:val="en-US" w:eastAsia="zh-CN"/>
        </w:rPr>
      </w:pPr>
      <w:r>
        <w:rPr>
          <w:rFonts w:hint="eastAsia"/>
          <w:highlight w:val="none"/>
          <w:lang w:val="en-US" w:eastAsia="zh-CN"/>
        </w:rPr>
        <w:t>14.完善精准帮扶机制。学院重点关注脱贫家庭、低保家庭、零就业家庭、残疾等就业困难毕业生群体，“一人一档” “一人一策”建立帮扶工作台账，优先提供指导服务、优先推荐就业岗位、优先开展培训和就业实习。落实“一对一”帮扶责任制，学院和院系领导班子成员、就业指导教师、专业教师、辅导员等与困难学生开展结对帮扶，确保每一个困难学生都得到有效帮助。会同人力资源社会保障部门持续做好离校未就业毕业生的跟踪帮扶和不断线服务。</w:t>
      </w:r>
    </w:p>
    <w:p>
      <w:pPr>
        <w:bidi w:val="0"/>
        <w:rPr>
          <w:rFonts w:hint="eastAsia" w:ascii="微软雅黑" w:hAnsi="微软雅黑" w:eastAsia="微软雅黑" w:cs="微软雅黑"/>
          <w:i w:val="0"/>
          <w:iCs w:val="0"/>
          <w:caps w:val="0"/>
          <w:color w:val="4B4B4B"/>
          <w:spacing w:val="0"/>
          <w:sz w:val="24"/>
          <w:szCs w:val="24"/>
          <w:shd w:val="clear" w:color="auto" w:fill="FFFFFF"/>
        </w:rPr>
      </w:pPr>
      <w:r>
        <w:rPr>
          <w:rFonts w:hint="eastAsia"/>
          <w:highlight w:val="none"/>
          <w:lang w:val="en-US" w:eastAsia="zh-CN"/>
        </w:rPr>
        <w:t>15.深入实施“宏志助航计划”。学院组织毕业生参加“中央专项彩票公益金宏志助航计划——全国高校毕业生就业能力培训项目”。　</w:t>
      </w:r>
      <w:r>
        <w:rPr>
          <w:rFonts w:hint="eastAsia" w:ascii="微软雅黑" w:hAnsi="微软雅黑" w:eastAsia="微软雅黑" w:cs="微软雅黑"/>
          <w:i w:val="0"/>
          <w:iCs w:val="0"/>
          <w:caps w:val="0"/>
          <w:color w:val="4B4B4B"/>
          <w:spacing w:val="0"/>
          <w:sz w:val="24"/>
          <w:szCs w:val="24"/>
          <w:shd w:val="clear" w:color="auto" w:fill="FFFFFF"/>
        </w:rPr>
        <w:t>　　</w:t>
      </w:r>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8" w:name="_Toc19991"/>
      <w:r>
        <w:rPr>
          <w:rFonts w:hint="eastAsia" w:ascii="宋体" w:hAnsi="宋体" w:cs="宋体"/>
          <w:b/>
          <w:bCs/>
          <w:sz w:val="28"/>
          <w:szCs w:val="28"/>
          <w:lang w:val="en-US" w:eastAsia="zh-CN"/>
        </w:rPr>
        <w:t>完善就业监测与评价反馈机制</w:t>
      </w:r>
      <w:bookmarkEnd w:id="298"/>
    </w:p>
    <w:p>
      <w:pPr>
        <w:bidi w:val="0"/>
        <w:rPr>
          <w:rFonts w:hint="eastAsia"/>
          <w:highlight w:val="none"/>
          <w:lang w:val="en-US" w:eastAsia="zh-CN"/>
        </w:rPr>
      </w:pPr>
      <w:r>
        <w:rPr>
          <w:rFonts w:hint="eastAsia"/>
          <w:highlight w:val="none"/>
          <w:lang w:val="en-US" w:eastAsia="zh-CN"/>
        </w:rPr>
        <w:t>16.加强就业数据监测。学院认真落实毕业去向登记制度，准确把握就业监测指标内涵，严格审核毕业生就业信息和就业材料，确保就业数据真实准确。完善毕业生就业状况布点监测机制。加强就业监测工作业务培训，提升就业监测工作质量、时效和规范化水平。严格落实就业监测工作“四不准”“三不得”要求，分级开展就业工作核查，严格执行就业监测工作违规处理办法，对违反相关规定的院系和相关人员，依规依纪严肃追责问责。</w:t>
      </w:r>
    </w:p>
    <w:p>
      <w:pPr>
        <w:bidi w:val="0"/>
        <w:rPr>
          <w:rFonts w:hint="eastAsia"/>
          <w:highlight w:val="none"/>
          <w:lang w:val="en-US" w:eastAsia="zh-CN"/>
        </w:rPr>
      </w:pPr>
      <w:r>
        <w:rPr>
          <w:rFonts w:hint="eastAsia"/>
          <w:highlight w:val="none"/>
          <w:lang w:val="en-US" w:eastAsia="zh-CN"/>
        </w:rPr>
        <w:t>17.完善就业状况反馈机制。学院建立完善就业与招生、培养联动的有效机制，把高校毕业生就业状况作为高等教育结构调整的重要内容。学院重点布局社会需求强、就业前景广、人才缺口大的学科专业，及时调整或更新升级已经不适应社会需要的学科专业。持续实施高校毕业生就业去向落实率红黄牌提示制度。深入开展高校毕业生就业状况跟踪调查，把毕业生就业状况作为“双一流”建设成效评价、学科专业设置和调整评估、招生计划安排、就业工作评价等工作的重要依据。</w:t>
      </w:r>
    </w:p>
    <w:p>
      <w:pPr>
        <w:pStyle w:val="3"/>
        <w:keepNext/>
        <w:keepLines/>
        <w:pageBreakBefore w:val="0"/>
        <w:widowControl w:val="0"/>
        <w:numPr>
          <w:ilvl w:val="0"/>
          <w:numId w:val="17"/>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299" w:name="_Toc1998"/>
      <w:r>
        <w:rPr>
          <w:rFonts w:hint="eastAsia" w:ascii="宋体" w:hAnsi="宋体" w:cs="宋体"/>
          <w:b/>
          <w:bCs/>
          <w:sz w:val="28"/>
          <w:szCs w:val="28"/>
          <w:lang w:val="en-US" w:eastAsia="zh-CN"/>
        </w:rPr>
        <w:t>加强组织保障</w:t>
      </w:r>
      <w:bookmarkEnd w:id="299"/>
    </w:p>
    <w:p>
      <w:pPr>
        <w:bidi w:val="0"/>
        <w:rPr>
          <w:rFonts w:hint="eastAsia"/>
          <w:highlight w:val="none"/>
          <w:lang w:val="en-US" w:eastAsia="zh-CN"/>
        </w:rPr>
      </w:pPr>
      <w:r>
        <w:rPr>
          <w:rFonts w:hint="eastAsia"/>
          <w:highlight w:val="none"/>
          <w:lang w:val="en-US" w:eastAsia="zh-CN"/>
        </w:rPr>
        <w:t>18.逐级压实工作责任。学院落实就业“一把手”工程，主要负责同志亲自部署，分管负责同志靠前指挥。将高校毕业生就业工作纳入领导班子考核，适时开展就业工作督促检查，推动逐级落实就业工作责任。</w:t>
      </w:r>
    </w:p>
    <w:p>
      <w:pPr>
        <w:bidi w:val="0"/>
        <w:rPr>
          <w:rFonts w:hint="eastAsia"/>
          <w:highlight w:val="none"/>
          <w:lang w:val="en-US" w:eastAsia="zh-CN"/>
        </w:rPr>
      </w:pPr>
      <w:r>
        <w:rPr>
          <w:rFonts w:hint="eastAsia"/>
          <w:highlight w:val="none"/>
          <w:lang w:val="en-US" w:eastAsia="zh-CN"/>
        </w:rPr>
        <w:t>19.充实就业工作机构和力量。学院认真落实就业工作机构、人员、经费、场地“四到位”要求。学院加强就业指导服务机构建设，按照要求配备校级就业工作人员，在二级院系设立专职就业工作人员。加强专业化、职业化就业工作队伍建设，定期开展毕业班辅导员、就业工作人员业务培训，鼓励就业指导人员按要求参加相关职称评审。</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rPr>
          <w:highlight w:val="none"/>
          <w:lang w:val="en-US" w:eastAsia="zh-CN"/>
        </w:rPr>
      </w:pPr>
    </w:p>
    <w:p>
      <w:pPr>
        <w:numPr>
          <w:ilvl w:val="0"/>
          <w:numId w:val="0"/>
        </w:numPr>
        <w:bidi w:val="0"/>
        <w:rPr>
          <w:rFonts w:hint="eastAsia"/>
          <w:highlight w:val="none"/>
          <w:lang w:val="en-US" w:eastAsia="zh-CN"/>
        </w:rPr>
      </w:pPr>
    </w:p>
    <w:sectPr>
      <w:footerReference r:id="rId8" w:type="default"/>
      <w:pgSz w:w="11910" w:h="16160"/>
      <w:pgMar w:top="1420" w:right="1690" w:bottom="800" w:left="1620" w:header="1146" w:footer="612" w:gutter="0"/>
      <w:pgBorders>
        <w:top w:val="none" w:sz="0" w:space="0"/>
        <w:left w:val="none" w:sz="0" w:space="0"/>
        <w:bottom w:val="none" w:sz="0" w:space="0"/>
        <w:right w:val="none" w:sz="0" w:space="0"/>
      </w:pgBorders>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微软雅黑 Light">
    <w:panose1 w:val="020B0502040204020203"/>
    <w:charset w:val="86"/>
    <w:family w:val="auto"/>
    <w:pitch w:val="default"/>
    <w:sig w:usb0="80000287" w:usb1="2ACF001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02"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80</w:t>
                          </w:r>
                          <w:r>
                            <w:rPr>
                              <w:rFonts w:hint="eastAsia" w:eastAsia="宋体"/>
                              <w:lang w:eastAsia="zh-CN"/>
                            </w:rPr>
                            <w:t xml:space="preserve"> 页</w:t>
                          </w:r>
                        </w:p>
                      </w:txbxContent>
                    </wps:txbx>
                    <wps:bodyPr wrap="none" lIns="0" tIns="0" rIns="0" bIns="0" upright="0">
                      <a:spAutoFit/>
                    </wps:bodyPr>
                  </wps:wsp>
                </a:graphicData>
              </a:graphic>
            </wp:anchor>
          </w:drawing>
        </mc:Choice>
        <mc:Fallback>
          <w:pict>
            <v:shape id="文本框 107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4ihqc0BAACgAwAADgAAAGRycy9lMm9Eb2MueG1srVNLbtswEN0XyB0I&#10;7mPKXrSC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g5tQFMWKEssNDv38/dv5x6/z&#10;z69kWbwrk0q9hwqTnzymx+HODfhi9gM6E/mhDSZ9kRbBOGp8umgsh0hEelSuyrLAkMDYfEF89vzc&#10;B4jvpTMkGTUNOMSsLT8+QhxT55RUzbp7pXUepLZ/ORAzeVjqfewxWXHYDROhnWtOyKfH+dfU4rpT&#10;oh8syptWZTbCbOxm4+CD2nd5l1I98LeHiE3k3lKFEXYqjIPL7KYlS5vx5z1nPf9Y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C4ihqc0BAACgAwAADgAAAAAAAAABACAAAAAeAQAAZHJzL2Uy&#10;b0RvYy54bWxQSwUGAAAAAAYABgBZAQAAXQUAAAAA&#10;">
              <v:fill on="f" focussize="0,0"/>
              <v:stroke on="f"/>
              <v:imagedata o:title=""/>
              <o:lock v:ext="edit" aspectratio="f"/>
              <v:textbox inset="0mm,0mm,0mm,0mm" style="mso-fit-shape-to-text:t;">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80</w:t>
                    </w:r>
                    <w:r>
                      <w:rPr>
                        <w:rFonts w:hint="eastAsia" w:eastAsia="宋体"/>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110</w:t>
                          </w:r>
                          <w:r>
                            <w:rPr>
                              <w:rFonts w:hint="eastAsia" w:eastAsia="宋体"/>
                              <w:lang w:eastAsia="zh-CN"/>
                            </w:rPr>
                            <w:t xml:space="preserve"> 页</w:t>
                          </w:r>
                        </w:p>
                      </w:txbxContent>
                    </wps:txbx>
                    <wps:bodyPr wrap="none" lIns="0" tIns="0" rIns="0" bIns="0" upright="0">
                      <a:spAutoFit/>
                    </wps:bodyPr>
                  </wps:wsp>
                </a:graphicData>
              </a:graphic>
            </wp:anchor>
          </w:drawing>
        </mc:Choice>
        <mc:Fallback>
          <w:pict>
            <v:shape id="文本框 107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AFLzLzAEAAJ0DAAAOAAAAAAAAAAEAIAAAAB4BAABkcnMvZTJv&#10;RG9jLnhtbFBLBQYAAAAABgAGAFkBAABc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110</w:t>
                    </w:r>
                    <w:r>
                      <w:rPr>
                        <w:rFonts w:hint="eastAsia" w:eastAsia="宋体"/>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pPr>
        <w:spacing w:line="360" w:lineRule="auto"/>
        <w:ind w:firstLine="480"/>
      </w:pPr>
      <w:r>
        <w:separator/>
      </w:r>
    </w:p>
  </w:footnote>
  <w:footnote w:type="continuationSeparator" w:id="29">
    <w:p>
      <w:pPr>
        <w:spacing w:line="360" w:lineRule="auto"/>
        <w:ind w:firstLine="480"/>
      </w:pPr>
      <w:r>
        <w:continuationSeparator/>
      </w:r>
    </w:p>
  </w:footnote>
  <w:footnote w:id="0">
    <w:p>
      <w:pPr>
        <w:pStyle w:val="13"/>
        <w:snapToGrid w:val="0"/>
        <w:rPr>
          <w:rFonts w:hint="default" w:ascii="宋体" w:hAnsi="宋体" w:eastAsia="宋体" w:cs="宋体"/>
          <w:b/>
          <w:bCs/>
          <w:lang w:val="en-US" w:eastAsia="zh-CN"/>
        </w:rPr>
      </w:pPr>
      <w:r>
        <w:rPr>
          <w:rStyle w:val="24"/>
          <w:rFonts w:hint="eastAsia" w:ascii="宋体" w:hAnsi="宋体" w:eastAsia="宋体" w:cs="宋体"/>
          <w:b/>
          <w:bCs/>
        </w:rPr>
        <w:footnoteRef/>
      </w:r>
      <w:r>
        <w:rPr>
          <w:rFonts w:hint="eastAsia" w:ascii="宋体" w:hAnsi="宋体" w:eastAsia="宋体" w:cs="宋体"/>
          <w:b/>
          <w:bCs/>
          <w:lang w:val="en-US" w:eastAsia="zh-CN"/>
        </w:rPr>
        <w:t>数据统计截止日期：</w:t>
      </w:r>
      <w:r>
        <w:rPr>
          <w:rFonts w:hint="eastAsia" w:ascii="宋体" w:hAnsi="宋体" w:cs="宋体"/>
          <w:b/>
          <w:bCs/>
          <w:lang w:val="en-US" w:eastAsia="zh-CN"/>
        </w:rPr>
        <w:t>2023年8月31日；</w:t>
      </w:r>
    </w:p>
  </w:footnote>
  <w:footnote w:id="1">
    <w:p>
      <w:pPr>
        <w:pStyle w:val="13"/>
        <w:snapToGrid w:val="0"/>
        <w:rPr>
          <w:rFonts w:hint="default" w:eastAsia="宋体"/>
          <w:lang w:val="en-US" w:eastAsia="zh-CN"/>
        </w:rPr>
      </w:pPr>
      <w:r>
        <w:rPr>
          <w:rStyle w:val="24"/>
        </w:rPr>
        <w:footnoteRef/>
      </w:r>
      <w:r>
        <w:t xml:space="preserve"> </w:t>
      </w:r>
      <w:r>
        <w:rPr>
          <w:rFonts w:hint="eastAsia" w:ascii="宋体" w:hAnsi="宋体" w:cs="宋体"/>
          <w:b/>
          <w:sz w:val="18"/>
          <w:szCs w:val="18"/>
        </w:rPr>
        <w:t>根据教育部的统计口径：</w:t>
      </w:r>
      <w:r>
        <w:rPr>
          <w:rFonts w:hint="eastAsia" w:ascii="宋体" w:hAnsi="宋体" w:cs="宋体"/>
          <w:b/>
          <w:sz w:val="18"/>
          <w:szCs w:val="18"/>
          <w:lang w:eastAsia="zh-CN"/>
        </w:rPr>
        <w:t>毕业去向落实率</w:t>
      </w:r>
      <w:r>
        <w:rPr>
          <w:rFonts w:hint="eastAsia" w:ascii="宋体" w:hAnsi="宋体" w:cs="宋体"/>
          <w:b/>
          <w:sz w:val="18"/>
          <w:szCs w:val="18"/>
        </w:rPr>
        <w:t>=（毕业生总人数-待就业</w:t>
      </w:r>
      <w:r>
        <w:rPr>
          <w:rFonts w:hint="eastAsia" w:ascii="宋体" w:hAnsi="宋体" w:cs="宋体"/>
          <w:b/>
          <w:sz w:val="18"/>
          <w:szCs w:val="18"/>
          <w:lang w:val="en-US" w:eastAsia="zh-CN"/>
        </w:rPr>
        <w:t>人数</w:t>
      </w:r>
      <w:r>
        <w:rPr>
          <w:rFonts w:hint="eastAsia" w:ascii="宋体" w:hAnsi="宋体" w:cs="宋体"/>
          <w:b/>
          <w:sz w:val="18"/>
          <w:szCs w:val="18"/>
        </w:rPr>
        <w:t>-暂不就业拟升学</w:t>
      </w:r>
      <w:r>
        <w:rPr>
          <w:rFonts w:hint="eastAsia" w:ascii="宋体" w:hAnsi="宋体" w:cs="宋体"/>
          <w:b/>
          <w:sz w:val="18"/>
          <w:szCs w:val="18"/>
          <w:lang w:val="en-US" w:eastAsia="zh-CN"/>
        </w:rPr>
        <w:t>人数</w:t>
      </w:r>
      <w:r>
        <w:rPr>
          <w:rFonts w:hint="eastAsia" w:ascii="宋体" w:hAnsi="宋体" w:cs="宋体"/>
          <w:b/>
          <w:sz w:val="18"/>
          <w:szCs w:val="18"/>
        </w:rPr>
        <w:t>-其他暂不就业</w:t>
      </w:r>
      <w:r>
        <w:rPr>
          <w:rFonts w:hint="eastAsia" w:ascii="宋体" w:hAnsi="宋体" w:cs="宋体"/>
          <w:b/>
          <w:sz w:val="18"/>
          <w:szCs w:val="18"/>
          <w:lang w:val="en-US" w:eastAsia="zh-CN"/>
        </w:rPr>
        <w:t>人数</w:t>
      </w:r>
      <w:r>
        <w:rPr>
          <w:rFonts w:hint="eastAsia" w:ascii="宋体" w:hAnsi="宋体" w:cs="宋体"/>
          <w:b/>
          <w:sz w:val="18"/>
          <w:szCs w:val="18"/>
        </w:rPr>
        <w:t>）/毕业生总人数。</w:t>
      </w:r>
    </w:p>
  </w:footnote>
  <w:footnote w:id="2">
    <w:p>
      <w:pPr>
        <w:pStyle w:val="13"/>
        <w:snapToGrid w:val="0"/>
        <w:rPr>
          <w:rFonts w:hint="default" w:ascii="宋体" w:hAnsi="宋体" w:cs="宋体"/>
          <w:b/>
          <w:sz w:val="18"/>
          <w:szCs w:val="18"/>
          <w:lang w:val="en-US" w:eastAsia="zh-CN"/>
        </w:rPr>
      </w:pPr>
      <w:r>
        <w:rPr>
          <w:rStyle w:val="24"/>
        </w:rPr>
        <w:footnoteRef/>
      </w:r>
      <w:r>
        <w:t xml:space="preserve"> </w:t>
      </w:r>
      <w:r>
        <w:rPr>
          <w:rFonts w:hint="eastAsia" w:ascii="宋体" w:hAnsi="宋体" w:cs="宋体"/>
          <w:b/>
          <w:sz w:val="18"/>
          <w:szCs w:val="18"/>
          <w:lang w:val="en-US" w:eastAsia="zh-CN"/>
        </w:rPr>
        <w:t>毕业去向落实数指毕业生毕业去向除去待就业、暂不就业和其他暂不就业的毕业生人数总和。</w:t>
      </w:r>
    </w:p>
  </w:footnote>
  <w:footnote w:id="3">
    <w:p>
      <w:pPr>
        <w:keepNext w:val="0"/>
        <w:keepLines w:val="0"/>
        <w:pageBreakBefore w:val="0"/>
        <w:widowControl w:val="0"/>
        <w:kinsoku/>
        <w:wordWrap/>
        <w:overflowPunct/>
        <w:topLinePunct w:val="0"/>
        <w:autoSpaceDE/>
        <w:autoSpaceDN/>
        <w:bidi w:val="0"/>
        <w:adjustRightInd/>
        <w:snapToGrid/>
        <w:spacing w:line="240" w:lineRule="auto"/>
        <w:ind w:left="0" w:leftChars="0" w:firstLine="361" w:firstLineChars="200"/>
        <w:jc w:val="left"/>
        <w:textAlignment w:val="auto"/>
        <w:rPr>
          <w:rFonts w:hint="eastAsia" w:ascii="宋体" w:hAnsi="宋体" w:eastAsia="宋体" w:cs="宋体"/>
          <w:b/>
          <w:bCs/>
          <w:kern w:val="2"/>
          <w:sz w:val="18"/>
          <w:szCs w:val="18"/>
          <w:lang w:val="en-US" w:eastAsia="zh-CN" w:bidi="ar-SA"/>
        </w:rPr>
      </w:pPr>
      <w:r>
        <w:rPr>
          <w:rStyle w:val="24"/>
          <w:rFonts w:hint="eastAsia" w:ascii="宋体" w:hAnsi="宋体" w:eastAsia="宋体" w:cs="宋体"/>
          <w:b/>
          <w:bCs/>
          <w:sz w:val="18"/>
          <w:szCs w:val="18"/>
        </w:rPr>
        <w:footnoteRef/>
      </w:r>
      <w:r>
        <w:rPr>
          <w:rFonts w:hint="eastAsia" w:ascii="宋体" w:hAnsi="宋体" w:eastAsia="宋体" w:cs="宋体"/>
          <w:b/>
          <w:bCs/>
          <w:sz w:val="18"/>
          <w:szCs w:val="18"/>
        </w:rPr>
        <w:t xml:space="preserve"> </w:t>
      </w:r>
      <w:r>
        <w:rPr>
          <w:rFonts w:hint="eastAsia" w:ascii="宋体" w:hAnsi="宋体" w:eastAsia="宋体" w:cs="宋体"/>
          <w:b/>
          <w:bCs/>
          <w:kern w:val="2"/>
          <w:sz w:val="18"/>
          <w:szCs w:val="18"/>
          <w:lang w:val="en-US" w:eastAsia="zh-CN" w:bidi="ar-SA"/>
        </w:rPr>
        <w:t>七率是教育部最新的关于毕业生就业</w:t>
      </w:r>
      <w:r>
        <w:rPr>
          <w:rFonts w:hint="eastAsia" w:ascii="宋体" w:hAnsi="宋体" w:cs="宋体"/>
          <w:b/>
          <w:bCs/>
          <w:kern w:val="2"/>
          <w:sz w:val="18"/>
          <w:szCs w:val="18"/>
          <w:lang w:val="en-US" w:eastAsia="zh-CN" w:bidi="ar-SA"/>
        </w:rPr>
        <w:t>数据统计的</w:t>
      </w:r>
      <w:r>
        <w:rPr>
          <w:rFonts w:hint="eastAsia" w:ascii="宋体" w:hAnsi="宋体" w:eastAsia="宋体" w:cs="宋体"/>
          <w:b/>
          <w:bCs/>
          <w:kern w:val="2"/>
          <w:sz w:val="18"/>
          <w:szCs w:val="18"/>
          <w:lang w:val="en-US" w:eastAsia="zh-CN" w:bidi="ar-SA"/>
        </w:rPr>
        <w:t>的7</w:t>
      </w:r>
      <w:r>
        <w:rPr>
          <w:rFonts w:hint="eastAsia" w:ascii="宋体" w:hAnsi="宋体" w:cs="宋体"/>
          <w:b/>
          <w:bCs/>
          <w:kern w:val="2"/>
          <w:sz w:val="18"/>
          <w:szCs w:val="18"/>
          <w:lang w:val="en-US" w:eastAsia="zh-CN" w:bidi="ar-SA"/>
        </w:rPr>
        <w:t>项</w:t>
      </w:r>
      <w:r>
        <w:rPr>
          <w:rFonts w:hint="eastAsia" w:ascii="宋体" w:hAnsi="宋体" w:eastAsia="宋体" w:cs="宋体"/>
          <w:b/>
          <w:bCs/>
          <w:kern w:val="2"/>
          <w:sz w:val="18"/>
          <w:szCs w:val="18"/>
          <w:lang w:val="en-US" w:eastAsia="zh-CN" w:bidi="ar-SA"/>
        </w:rPr>
        <w:t>指标，具体如下：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lang w:val="en-US" w:eastAsia="zh-CN"/>
        </w:rPr>
      </w:pPr>
      <w:r>
        <w:rPr>
          <w:rFonts w:hint="eastAsia" w:ascii="宋体" w:hAnsi="宋体" w:cs="宋体"/>
          <w:b w:val="0"/>
          <w:bCs w:val="0"/>
          <w:sz w:val="18"/>
          <w:szCs w:val="18"/>
          <w:lang w:val="en-US" w:eastAsia="zh-CN"/>
        </w:rPr>
        <w:t>毕业去向落实率</w:t>
      </w:r>
      <w:r>
        <w:rPr>
          <w:rFonts w:hint="eastAsia" w:ascii="宋体" w:hAnsi="宋体" w:eastAsia="宋体" w:cs="宋体"/>
          <w:b w:val="0"/>
          <w:bCs w:val="0"/>
          <w:sz w:val="18"/>
          <w:szCs w:val="18"/>
        </w:rPr>
        <w:t>=（毕业生总人数</w:t>
      </w:r>
      <w:r>
        <w:rPr>
          <w:rFonts w:hint="eastAsia" w:ascii="宋体" w:hAnsi="宋体" w:cs="宋体"/>
          <w:b w:val="0"/>
          <w:bCs w:val="0"/>
          <w:sz w:val="18"/>
          <w:szCs w:val="18"/>
          <w:lang w:val="en-US" w:eastAsia="zh-CN"/>
        </w:rPr>
        <w:t>-待就业人数-不就业拟升学人数-其他暂不就业人数</w:t>
      </w:r>
      <w:r>
        <w:rPr>
          <w:rFonts w:hint="eastAsia" w:ascii="宋体" w:hAnsi="宋体" w:eastAsia="宋体" w:cs="宋体"/>
          <w:b w:val="0"/>
          <w:bCs w:val="0"/>
          <w:sz w:val="18"/>
          <w:szCs w:val="18"/>
        </w:rPr>
        <w:t>）/毕业生总人数。</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pPr>
      <w:r>
        <w:rPr>
          <w:rFonts w:hint="eastAsia" w:ascii="宋体" w:hAnsi="宋体" w:eastAsia="宋体" w:cs="宋体"/>
          <w:b w:val="0"/>
          <w:bCs w:val="0"/>
          <w:sz w:val="18"/>
          <w:szCs w:val="18"/>
          <w:lang w:val="en-US" w:eastAsia="zh-CN"/>
        </w:rPr>
        <w:t>签订协议和劳动合同就业率</w:t>
      </w:r>
      <w:r>
        <w:rPr>
          <w:rFonts w:hint="eastAsia" w:ascii="宋体" w:hAnsi="宋体" w:eastAsia="宋体" w:cs="宋体"/>
          <w:b w:val="0"/>
          <w:bCs w:val="0"/>
          <w:sz w:val="18"/>
          <w:szCs w:val="18"/>
        </w:rPr>
        <w:t>=（</w:t>
      </w:r>
      <w:r>
        <w:rPr>
          <w:rFonts w:hint="eastAsia" w:ascii="宋体" w:hAnsi="宋体" w:eastAsia="宋体" w:cs="宋体"/>
          <w:b w:val="0"/>
          <w:bCs w:val="0"/>
          <w:sz w:val="18"/>
          <w:szCs w:val="18"/>
          <w:lang w:val="en-US" w:eastAsia="zh-CN"/>
        </w:rPr>
        <w:t>签订协议人数+劳动合同人数+科研助理人数+应征义务兵人数+基层项目人数</w:t>
      </w:r>
      <w:r>
        <w:rPr>
          <w:rFonts w:hint="eastAsia" w:ascii="宋体" w:hAnsi="宋体" w:eastAsia="宋体" w:cs="宋体"/>
          <w:b w:val="0"/>
          <w:bCs w:val="0"/>
          <w:sz w:val="18"/>
          <w:szCs w:val="18"/>
        </w:rPr>
        <w:t>）/毕业生总人数</w:t>
      </w:r>
      <w:r>
        <w:rPr>
          <w:rFonts w:hint="eastAsia" w:ascii="宋体" w:hAnsi="宋体" w:cs="宋体"/>
          <w:b w:val="0"/>
          <w:bCs w:val="0"/>
          <w:sz w:val="18"/>
          <w:szCs w:val="18"/>
          <w:lang w:eastAsia="zh-CN"/>
        </w:rPr>
        <w:t>；</w:t>
      </w:r>
      <w:r>
        <w:rPr>
          <w:rFonts w:hint="eastAsia" w:ascii="宋体" w:hAnsi="宋体" w:eastAsia="宋体" w:cs="宋体"/>
          <w:b w:val="0"/>
          <w:bCs w:val="0"/>
          <w:sz w:val="18"/>
          <w:szCs w:val="18"/>
          <w:lang w:val="en-US" w:eastAsia="zh-CN"/>
        </w:rPr>
        <w:t>灵活就业率=（其他形式就业人数+自由职业人数）/毕业生总人数</w:t>
      </w:r>
      <w:r>
        <w:rPr>
          <w:rFonts w:hint="eastAsia" w:ascii="宋体" w:hAnsi="宋体" w:cs="宋体"/>
          <w:b w:val="0"/>
          <w:bCs w:val="0"/>
          <w:sz w:val="18"/>
          <w:szCs w:val="18"/>
          <w:lang w:val="en-US" w:eastAsia="zh-CN"/>
        </w:rPr>
        <w:t>；</w:t>
      </w:r>
      <w:r>
        <w:rPr>
          <w:rFonts w:hint="eastAsia" w:ascii="宋体" w:hAnsi="宋体" w:eastAsia="宋体" w:cs="宋体"/>
          <w:b w:val="0"/>
          <w:bCs w:val="0"/>
          <w:sz w:val="18"/>
          <w:szCs w:val="18"/>
          <w:lang w:val="en-US" w:eastAsia="zh-CN"/>
        </w:rPr>
        <w:t>创业率=自主创业人数/毕业生总人数</w:t>
      </w:r>
      <w:r>
        <w:rPr>
          <w:rFonts w:hint="eastAsia" w:ascii="宋体" w:hAnsi="宋体" w:cs="宋体"/>
          <w:b w:val="0"/>
          <w:bCs w:val="0"/>
          <w:sz w:val="18"/>
          <w:szCs w:val="18"/>
          <w:lang w:val="en-US" w:eastAsia="zh-CN"/>
        </w:rPr>
        <w:t>；</w:t>
      </w:r>
      <w:r>
        <w:rPr>
          <w:rFonts w:hint="eastAsia" w:ascii="宋体" w:hAnsi="宋体" w:eastAsia="宋体" w:cs="宋体"/>
          <w:b w:val="0"/>
          <w:bCs w:val="0"/>
          <w:sz w:val="18"/>
          <w:szCs w:val="18"/>
          <w:lang w:val="en-US" w:eastAsia="zh-CN"/>
        </w:rPr>
        <w:t>升学率</w:t>
      </w:r>
      <w:r>
        <w:rPr>
          <w:rFonts w:hint="eastAsia" w:ascii="宋体" w:hAnsi="宋体" w:cs="宋体"/>
          <w:b w:val="0"/>
          <w:bCs w:val="0"/>
          <w:sz w:val="18"/>
          <w:szCs w:val="18"/>
          <w:lang w:val="en-US" w:eastAsia="zh-CN"/>
        </w:rPr>
        <w:t>（含出国出境）</w:t>
      </w:r>
      <w:r>
        <w:rPr>
          <w:rFonts w:hint="eastAsia" w:ascii="宋体" w:hAnsi="宋体" w:eastAsia="宋体" w:cs="宋体"/>
          <w:b w:val="0"/>
          <w:bCs w:val="0"/>
          <w:sz w:val="18"/>
          <w:szCs w:val="18"/>
          <w:lang w:val="en-US" w:eastAsia="zh-CN"/>
        </w:rPr>
        <w:t>=（升学人数+出国出境人数）/毕业生总人数</w:t>
      </w:r>
      <w:r>
        <w:rPr>
          <w:rFonts w:hint="eastAsia" w:ascii="宋体" w:hAnsi="宋体" w:cs="宋体"/>
          <w:b w:val="0"/>
          <w:bCs w:val="0"/>
          <w:sz w:val="18"/>
          <w:szCs w:val="18"/>
          <w:lang w:val="en-US" w:eastAsia="zh-CN"/>
        </w:rPr>
        <w:t>；</w:t>
      </w:r>
      <w:r>
        <w:rPr>
          <w:rFonts w:hint="eastAsia" w:ascii="宋体" w:hAnsi="宋体" w:eastAsia="宋体" w:cs="宋体"/>
          <w:b w:val="0"/>
          <w:bCs w:val="0"/>
          <w:sz w:val="18"/>
          <w:szCs w:val="18"/>
          <w:lang w:val="en-US" w:eastAsia="zh-CN"/>
        </w:rPr>
        <w:t>待就业率=待就业人数/毕业生总人数</w:t>
      </w:r>
      <w:r>
        <w:rPr>
          <w:rFonts w:hint="eastAsia" w:ascii="宋体" w:hAnsi="宋体" w:cs="宋体"/>
          <w:b w:val="0"/>
          <w:bCs w:val="0"/>
          <w:sz w:val="18"/>
          <w:szCs w:val="18"/>
          <w:lang w:val="en-US" w:eastAsia="zh-CN"/>
        </w:rPr>
        <w:t>；暂不就业率</w:t>
      </w:r>
      <w:r>
        <w:rPr>
          <w:rFonts w:hint="eastAsia" w:ascii="宋体" w:hAnsi="宋体" w:eastAsia="宋体" w:cs="宋体"/>
          <w:b w:val="0"/>
          <w:bCs w:val="0"/>
          <w:sz w:val="18"/>
          <w:szCs w:val="18"/>
          <w:lang w:val="en-US" w:eastAsia="zh-CN"/>
        </w:rPr>
        <w:t>=（不就业拟升学人数+其他暂不就业人数）/毕业生总人数</w:t>
      </w:r>
      <w:r>
        <w:rPr>
          <w:rFonts w:hint="eastAsia" w:ascii="宋体" w:hAnsi="宋体" w:cs="宋体"/>
          <w:b w:val="0"/>
          <w:bCs w:val="0"/>
          <w:sz w:val="18"/>
          <w:szCs w:val="18"/>
          <w:lang w:val="en-US" w:eastAsia="zh-CN"/>
        </w:rPr>
        <w:t>。</w:t>
      </w:r>
    </w:p>
  </w:footnote>
  <w:footnote w:id="4">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Style w:val="24"/>
          <w:rFonts w:hint="eastAsia" w:ascii="宋体" w:hAnsi="宋体" w:eastAsia="宋体" w:cs="宋体"/>
          <w:b/>
          <w:bCs/>
          <w:sz w:val="18"/>
          <w:szCs w:val="18"/>
        </w:rPr>
        <w:footnoteRef/>
      </w:r>
      <w:r>
        <w:rPr>
          <w:rFonts w:hint="eastAsia" w:ascii="宋体" w:hAnsi="宋体" w:eastAsia="宋体" w:cs="宋体"/>
          <w:b/>
          <w:bCs/>
          <w:sz w:val="18"/>
          <w:szCs w:val="18"/>
        </w:rPr>
        <w:t xml:space="preserve"> </w:t>
      </w:r>
      <w:r>
        <w:rPr>
          <w:rFonts w:hint="eastAsia" w:ascii="宋体" w:hAnsi="宋体" w:cs="宋体"/>
          <w:b/>
          <w:bCs/>
          <w:sz w:val="18"/>
          <w:szCs w:val="18"/>
          <w:lang w:val="en-US" w:eastAsia="zh-CN"/>
        </w:rPr>
        <w:t>2023年度获得安徽省级优秀毕业生称号的毕业生</w:t>
      </w:r>
    </w:p>
  </w:footnote>
  <w:footnote w:id="5">
    <w:p>
      <w:pPr>
        <w:pStyle w:val="13"/>
        <w:snapToGrid w:val="0"/>
      </w:pPr>
      <w:r>
        <w:rPr>
          <w:rStyle w:val="24"/>
          <w:b/>
          <w:bCs/>
        </w:rPr>
        <w:footnoteRef/>
      </w:r>
      <w:r>
        <w:rPr>
          <w:b/>
          <w:bCs/>
        </w:rPr>
        <w:t xml:space="preserve"> </w:t>
      </w:r>
      <w:r>
        <w:rPr>
          <w:b/>
          <w:bCs/>
          <w:sz w:val="18"/>
        </w:rPr>
        <w:t>统计范围是毕业去向为：签就业协议形式就业、其他录用形式就业、签劳动合同形式就业的</w:t>
      </w:r>
      <w:r>
        <w:rPr>
          <w:rFonts w:hint="eastAsia"/>
          <w:b/>
          <w:bCs/>
          <w:sz w:val="18"/>
          <w:lang w:eastAsia="zh-CN"/>
        </w:rPr>
        <w:t>毕业生</w:t>
      </w:r>
      <w:r>
        <w:rPr>
          <w:sz w:val="18"/>
        </w:rPr>
        <w:t>。</w:t>
      </w:r>
    </w:p>
  </w:footnote>
  <w:footnote w:id="6">
    <w:p>
      <w:pPr>
        <w:pStyle w:val="13"/>
        <w:snapToGrid w:val="0"/>
      </w:pPr>
      <w:r>
        <w:rPr>
          <w:rStyle w:val="24"/>
        </w:rPr>
        <w:footnoteRef/>
      </w:r>
      <w:r>
        <w:t xml:space="preserve"> </w:t>
      </w:r>
      <w:r>
        <w:rPr>
          <w:b/>
          <w:bCs/>
          <w:sz w:val="18"/>
        </w:rPr>
        <w:t>统计范围是毕业去向为：签就业协议形式就业、其他录用形式就业、签劳动合同形式就业的</w:t>
      </w:r>
      <w:r>
        <w:rPr>
          <w:rFonts w:hint="eastAsia"/>
          <w:b/>
          <w:bCs/>
          <w:sz w:val="18"/>
          <w:lang w:eastAsia="zh-CN"/>
        </w:rPr>
        <w:t>毕业生</w:t>
      </w:r>
      <w:r>
        <w:rPr>
          <w:sz w:val="18"/>
        </w:rPr>
        <w:t>。</w:t>
      </w:r>
    </w:p>
  </w:footnote>
  <w:footnote w:id="7">
    <w:p>
      <w:pPr>
        <w:pStyle w:val="13"/>
        <w:snapToGrid w:val="0"/>
      </w:pPr>
      <w:r>
        <w:rPr>
          <w:rStyle w:val="24"/>
        </w:rPr>
        <w:footnoteRef/>
      </w:r>
      <w:r>
        <w:t xml:space="preserve"> </w:t>
      </w:r>
      <w:r>
        <w:rPr>
          <w:b/>
          <w:bCs/>
          <w:sz w:val="18"/>
        </w:rPr>
        <w:t>统计范围是毕业去向为：签就业协议形式就业、其他录用形式就业、签劳动合同形式就业的</w:t>
      </w:r>
      <w:r>
        <w:rPr>
          <w:rFonts w:hint="eastAsia"/>
          <w:b/>
          <w:bCs/>
          <w:sz w:val="18"/>
          <w:lang w:eastAsia="zh-CN"/>
        </w:rPr>
        <w:t>毕业生</w:t>
      </w:r>
      <w:r>
        <w:rPr>
          <w:sz w:val="18"/>
        </w:rPr>
        <w:t>。</w:t>
      </w:r>
    </w:p>
  </w:footnote>
  <w:footnote w:id="8">
    <w:p>
      <w:pPr>
        <w:pStyle w:val="13"/>
        <w:keepNext w:val="0"/>
        <w:keepLines w:val="0"/>
        <w:pageBreakBefore w:val="0"/>
        <w:widowControl w:val="0"/>
        <w:kinsoku/>
        <w:wordWrap/>
        <w:overflowPunct/>
        <w:topLinePunct w:val="0"/>
        <w:autoSpaceDE/>
        <w:autoSpaceDN/>
        <w:bidi w:val="0"/>
        <w:snapToGrid w:val="0"/>
        <w:spacing w:line="240" w:lineRule="auto"/>
        <w:textAlignment w:val="auto"/>
        <w:rPr>
          <w:rStyle w:val="24"/>
          <w:rFonts w:hint="eastAsia"/>
          <w:sz w:val="18"/>
          <w:szCs w:val="18"/>
          <w:vertAlign w:val="superscript"/>
        </w:rPr>
      </w:pPr>
      <w:r>
        <w:rPr>
          <w:rStyle w:val="24"/>
          <w:rFonts w:hint="eastAsia"/>
          <w:sz w:val="21"/>
          <w:szCs w:val="22"/>
          <w:vertAlign w:val="superscript"/>
        </w:rPr>
        <w:footnoteRef/>
      </w:r>
      <w:r>
        <w:rPr>
          <w:rStyle w:val="24"/>
          <w:rFonts w:hint="eastAsia"/>
          <w:sz w:val="21"/>
          <w:szCs w:val="22"/>
          <w:vertAlign w:val="superscript"/>
        </w:rPr>
        <w:t xml:space="preserve"> </w:t>
      </w:r>
      <w:r>
        <w:rPr>
          <w:rFonts w:hint="eastAsia" w:ascii="宋体" w:hAnsi="宋体" w:eastAsia="宋体" w:cs="宋体"/>
          <w:b/>
          <w:bCs/>
          <w:sz w:val="18"/>
          <w:szCs w:val="18"/>
          <w:lang w:val="en-US" w:eastAsia="zh-CN"/>
        </w:rPr>
        <w:t>实际就业人数是指是毕业去向除</w:t>
      </w:r>
      <w:r>
        <w:rPr>
          <w:rFonts w:hint="eastAsia" w:ascii="宋体" w:hAnsi="宋体" w:cs="宋体"/>
          <w:b/>
          <w:bCs/>
          <w:sz w:val="18"/>
          <w:szCs w:val="18"/>
          <w:lang w:val="en-US" w:eastAsia="zh-CN"/>
        </w:rPr>
        <w:t>待就业</w:t>
      </w:r>
      <w:r>
        <w:rPr>
          <w:rFonts w:hint="eastAsia" w:ascii="宋体" w:hAnsi="宋体" w:eastAsia="宋体" w:cs="宋体"/>
          <w:b/>
          <w:bCs/>
          <w:sz w:val="18"/>
          <w:szCs w:val="18"/>
          <w:lang w:val="en-US" w:eastAsia="zh-CN"/>
        </w:rPr>
        <w:t>、应征义务兵、升学、出国出境</w:t>
      </w:r>
      <w:r>
        <w:rPr>
          <w:rFonts w:hint="eastAsia" w:ascii="宋体" w:hAnsi="宋体" w:cs="宋体"/>
          <w:b/>
          <w:bCs/>
          <w:sz w:val="18"/>
          <w:szCs w:val="18"/>
          <w:lang w:val="en-US" w:eastAsia="zh-CN"/>
        </w:rPr>
        <w:t>、不就业拟升学、其他暂不就业</w:t>
      </w:r>
      <w:r>
        <w:rPr>
          <w:rFonts w:hint="eastAsia" w:ascii="宋体" w:hAnsi="宋体" w:eastAsia="宋体" w:cs="宋体"/>
          <w:b/>
          <w:bCs/>
          <w:sz w:val="18"/>
          <w:szCs w:val="18"/>
          <w:lang w:val="en-US" w:eastAsia="zh-CN"/>
        </w:rPr>
        <w:t>之外</w:t>
      </w:r>
      <w:r>
        <w:rPr>
          <w:rFonts w:hint="eastAsia" w:ascii="宋体" w:hAnsi="宋体" w:cs="宋体"/>
          <w:b/>
          <w:bCs/>
          <w:sz w:val="18"/>
          <w:szCs w:val="18"/>
          <w:lang w:val="en-US" w:eastAsia="zh-CN"/>
        </w:rPr>
        <w:t>毕业生</w:t>
      </w:r>
      <w:r>
        <w:rPr>
          <w:rFonts w:hint="eastAsia" w:ascii="宋体" w:hAnsi="宋体" w:eastAsia="宋体" w:cs="宋体"/>
          <w:b/>
          <w:bCs/>
          <w:sz w:val="18"/>
          <w:szCs w:val="18"/>
          <w:lang w:val="en-US" w:eastAsia="zh-CN"/>
        </w:rPr>
        <w:t>之</w:t>
      </w:r>
      <w:r>
        <w:rPr>
          <w:rFonts w:hint="eastAsia" w:ascii="宋体" w:hAnsi="宋体" w:cs="宋体"/>
          <w:b/>
          <w:bCs/>
          <w:sz w:val="18"/>
          <w:szCs w:val="18"/>
          <w:lang w:val="en-US" w:eastAsia="zh-CN"/>
        </w:rPr>
        <w:t>和</w:t>
      </w:r>
      <w:r>
        <w:rPr>
          <w:rFonts w:hint="eastAsia" w:ascii="宋体" w:hAnsi="宋体" w:eastAsia="宋体" w:cs="宋体"/>
          <w:b/>
          <w:bCs/>
          <w:sz w:val="18"/>
          <w:szCs w:val="18"/>
        </w:rPr>
        <w:t>。</w:t>
      </w:r>
    </w:p>
  </w:footnote>
  <w:footnote w:id="9">
    <w:p>
      <w:pPr>
        <w:pStyle w:val="13"/>
        <w:keepNext w:val="0"/>
        <w:keepLines w:val="0"/>
        <w:pageBreakBefore w:val="0"/>
        <w:widowControl w:val="0"/>
        <w:kinsoku/>
        <w:wordWrap/>
        <w:overflowPunct/>
        <w:topLinePunct w:val="0"/>
        <w:autoSpaceDE/>
        <w:autoSpaceDN/>
        <w:bidi w:val="0"/>
        <w:snapToGrid w:val="0"/>
        <w:spacing w:line="240" w:lineRule="auto"/>
        <w:textAlignment w:val="auto"/>
      </w:pPr>
      <w:r>
        <w:rPr>
          <w:rStyle w:val="24"/>
          <w:rFonts w:hint="eastAsia"/>
          <w:sz w:val="21"/>
          <w:szCs w:val="22"/>
          <w:vertAlign w:val="superscript"/>
        </w:rPr>
        <w:footnoteRef/>
      </w:r>
      <w:r>
        <w:rPr>
          <w:rStyle w:val="24"/>
          <w:rFonts w:hint="eastAsia"/>
          <w:sz w:val="21"/>
          <w:szCs w:val="22"/>
          <w:vertAlign w:val="superscript"/>
        </w:rPr>
        <w:t xml:space="preserve"> </w:t>
      </w:r>
      <w:r>
        <w:rPr>
          <w:rFonts w:hint="eastAsia" w:ascii="宋体" w:hAnsi="宋体" w:eastAsia="宋体" w:cs="宋体"/>
          <w:b/>
          <w:bCs/>
          <w:sz w:val="18"/>
          <w:szCs w:val="18"/>
        </w:rPr>
        <w:t>就业地区域划分：华东地区（包括山东、江苏、安徽、浙江、福建、江西、上海）；华南地区（包括广东、广西、海南）；华中地区（包括湖北、湖南、河南）；华北地区（包括北京、</w:t>
      </w:r>
      <w:r>
        <w:rPr>
          <w:rFonts w:hint="eastAsia" w:ascii="宋体" w:hAnsi="宋体" w:eastAsia="宋体" w:cs="宋体"/>
          <w:b/>
          <w:bCs/>
          <w:sz w:val="18"/>
          <w:szCs w:val="18"/>
        </w:rPr>
        <w:fldChar w:fldCharType="begin"/>
      </w:r>
      <w:r>
        <w:rPr>
          <w:rFonts w:hint="eastAsia" w:ascii="宋体" w:hAnsi="宋体" w:eastAsia="宋体" w:cs="宋体"/>
          <w:b/>
          <w:bCs/>
          <w:sz w:val="18"/>
          <w:szCs w:val="18"/>
        </w:rPr>
        <w:instrText xml:space="preserve"> HYPERLINK "http://www.so.com/s?q=%E5%A4%A9%E6%B4%A5&amp;amp;ie=utf-8&amp;amp;src=internal_wenda_recommend_textn" \h </w:instrText>
      </w:r>
      <w:r>
        <w:rPr>
          <w:rFonts w:hint="eastAsia" w:ascii="宋体" w:hAnsi="宋体" w:eastAsia="宋体" w:cs="宋体"/>
          <w:b/>
          <w:bCs/>
          <w:sz w:val="18"/>
          <w:szCs w:val="18"/>
        </w:rPr>
        <w:fldChar w:fldCharType="separate"/>
      </w:r>
      <w:r>
        <w:rPr>
          <w:rFonts w:hint="eastAsia" w:ascii="宋体" w:hAnsi="宋体" w:eastAsia="宋体" w:cs="宋体"/>
          <w:b/>
          <w:bCs/>
          <w:sz w:val="18"/>
          <w:szCs w:val="18"/>
        </w:rPr>
        <w:t>天津</w:t>
      </w:r>
      <w:r>
        <w:rPr>
          <w:rFonts w:hint="eastAsia" w:ascii="宋体" w:hAnsi="宋体" w:eastAsia="宋体" w:cs="宋体"/>
          <w:b/>
          <w:bCs/>
          <w:sz w:val="18"/>
          <w:szCs w:val="18"/>
        </w:rPr>
        <w:fldChar w:fldCharType="end"/>
      </w:r>
      <w:r>
        <w:rPr>
          <w:rFonts w:hint="eastAsia" w:ascii="宋体" w:hAnsi="宋体" w:eastAsia="宋体" w:cs="宋体"/>
          <w:b/>
          <w:bCs/>
          <w:sz w:val="18"/>
          <w:szCs w:val="18"/>
        </w:rPr>
        <w:t>、</w:t>
      </w:r>
      <w:r>
        <w:rPr>
          <w:rFonts w:hint="eastAsia" w:ascii="宋体" w:hAnsi="宋体" w:eastAsia="宋体" w:cs="宋体"/>
          <w:b/>
          <w:bCs/>
          <w:sz w:val="18"/>
          <w:szCs w:val="18"/>
        </w:rPr>
        <w:fldChar w:fldCharType="begin"/>
      </w:r>
      <w:r>
        <w:rPr>
          <w:rFonts w:hint="eastAsia" w:ascii="宋体" w:hAnsi="宋体" w:eastAsia="宋体" w:cs="宋体"/>
          <w:b/>
          <w:bCs/>
          <w:sz w:val="18"/>
          <w:szCs w:val="18"/>
        </w:rPr>
        <w:instrText xml:space="preserve"> HYPERLINK "http://www.so.com/s?q=%E6%B2%B3%E5%8C%97&amp;amp;ie=utf-8&amp;amp;src=internal_wenda_recommend_textn" \h </w:instrText>
      </w:r>
      <w:r>
        <w:rPr>
          <w:rFonts w:hint="eastAsia" w:ascii="宋体" w:hAnsi="宋体" w:eastAsia="宋体" w:cs="宋体"/>
          <w:b/>
          <w:bCs/>
          <w:sz w:val="18"/>
          <w:szCs w:val="18"/>
        </w:rPr>
        <w:fldChar w:fldCharType="separate"/>
      </w:r>
      <w:r>
        <w:rPr>
          <w:rFonts w:hint="eastAsia" w:ascii="宋体" w:hAnsi="宋体" w:eastAsia="宋体" w:cs="宋体"/>
          <w:b/>
          <w:bCs/>
          <w:sz w:val="18"/>
          <w:szCs w:val="18"/>
        </w:rPr>
        <w:t>河北</w:t>
      </w:r>
      <w:r>
        <w:rPr>
          <w:rFonts w:hint="eastAsia" w:ascii="宋体" w:hAnsi="宋体" w:eastAsia="宋体" w:cs="宋体"/>
          <w:b/>
          <w:bCs/>
          <w:sz w:val="18"/>
          <w:szCs w:val="18"/>
        </w:rPr>
        <w:fldChar w:fldCharType="end"/>
      </w:r>
      <w:r>
        <w:rPr>
          <w:rFonts w:hint="eastAsia" w:ascii="宋体" w:hAnsi="宋体" w:eastAsia="宋体" w:cs="宋体"/>
          <w:b/>
          <w:bCs/>
          <w:sz w:val="18"/>
          <w:szCs w:val="18"/>
        </w:rPr>
        <w:t>、山西、内蒙古）；西北地区（包括宁夏、</w:t>
      </w:r>
      <w:r>
        <w:rPr>
          <w:rFonts w:hint="eastAsia" w:ascii="宋体" w:hAnsi="宋体" w:eastAsia="宋体" w:cs="宋体"/>
          <w:b/>
          <w:bCs/>
          <w:sz w:val="18"/>
          <w:szCs w:val="18"/>
        </w:rPr>
        <w:fldChar w:fldCharType="begin"/>
      </w:r>
      <w:r>
        <w:rPr>
          <w:rFonts w:hint="eastAsia" w:ascii="宋体" w:hAnsi="宋体" w:eastAsia="宋体" w:cs="宋体"/>
          <w:b/>
          <w:bCs/>
          <w:sz w:val="18"/>
          <w:szCs w:val="18"/>
        </w:rPr>
        <w:instrText xml:space="preserve"> HYPERLINK "http://www.so.com/s?q=%E6%96%B0%E7%96%86&amp;amp;ie=utf-8&amp;amp;src=internal_wenda_recommend_textn" \h </w:instrText>
      </w:r>
      <w:r>
        <w:rPr>
          <w:rFonts w:hint="eastAsia" w:ascii="宋体" w:hAnsi="宋体" w:eastAsia="宋体" w:cs="宋体"/>
          <w:b/>
          <w:bCs/>
          <w:sz w:val="18"/>
          <w:szCs w:val="18"/>
        </w:rPr>
        <w:fldChar w:fldCharType="separate"/>
      </w:r>
      <w:r>
        <w:rPr>
          <w:rFonts w:hint="eastAsia" w:ascii="宋体" w:hAnsi="宋体" w:eastAsia="宋体" w:cs="宋体"/>
          <w:b/>
          <w:bCs/>
          <w:sz w:val="18"/>
          <w:szCs w:val="18"/>
        </w:rPr>
        <w:t>新疆</w:t>
      </w:r>
      <w:r>
        <w:rPr>
          <w:rFonts w:hint="eastAsia" w:ascii="宋体" w:hAnsi="宋体" w:eastAsia="宋体" w:cs="宋体"/>
          <w:b/>
          <w:bCs/>
          <w:sz w:val="18"/>
          <w:szCs w:val="18"/>
        </w:rPr>
        <w:fldChar w:fldCharType="end"/>
      </w:r>
      <w:r>
        <w:rPr>
          <w:rFonts w:hint="eastAsia" w:ascii="宋体" w:hAnsi="宋体" w:eastAsia="宋体" w:cs="宋体"/>
          <w:b/>
          <w:bCs/>
          <w:sz w:val="18"/>
          <w:szCs w:val="18"/>
        </w:rPr>
        <w:t>、青海、陕西、甘肃）；西南地区（包括四川、云南、贵州、西藏、重庆）；东北地区（包括辽宁、吉林、黑龙江）；台港澳地区（包括台湾、香港、澳门）。</w:t>
      </w:r>
    </w:p>
  </w:footnote>
  <w:footnote w:id="10">
    <w:p>
      <w:pPr>
        <w:keepNext w:val="0"/>
        <w:keepLines w:val="0"/>
        <w:pageBreakBefore w:val="0"/>
        <w:widowControl w:val="0"/>
        <w:kinsoku/>
        <w:wordWrap/>
        <w:overflowPunct/>
        <w:topLinePunct w:val="0"/>
        <w:autoSpaceDE/>
        <w:autoSpaceDN/>
        <w:bidi w:val="0"/>
        <w:adjustRightInd/>
        <w:snapToGrid/>
        <w:spacing w:before="95" w:line="240" w:lineRule="auto"/>
        <w:ind w:right="0"/>
        <w:jc w:val="left"/>
        <w:textAlignment w:val="auto"/>
      </w:pPr>
      <w:r>
        <w:rPr>
          <w:rStyle w:val="24"/>
        </w:rPr>
        <w:footnoteRef/>
      </w:r>
      <w:r>
        <w:t xml:space="preserve"> </w:t>
      </w:r>
      <w:r>
        <w:rPr>
          <w:b/>
          <w:bCs/>
          <w:sz w:val="18"/>
        </w:rPr>
        <w:t>计划单列市：大连市</w:t>
      </w:r>
      <w:r>
        <w:rPr>
          <w:rFonts w:ascii="Times New Roman" w:eastAsia="Times New Roman"/>
          <w:b/>
          <w:bCs/>
          <w:sz w:val="18"/>
        </w:rPr>
        <w:t xml:space="preserve">(1984 </w:t>
      </w:r>
      <w:r>
        <w:rPr>
          <w:b/>
          <w:bCs/>
          <w:sz w:val="18"/>
        </w:rPr>
        <w:t xml:space="preserve">年 </w:t>
      </w:r>
      <w:r>
        <w:rPr>
          <w:rFonts w:ascii="Times New Roman" w:eastAsia="Times New Roman"/>
          <w:b/>
          <w:bCs/>
          <w:sz w:val="18"/>
        </w:rPr>
        <w:t xml:space="preserve">7 </w:t>
      </w:r>
      <w:r>
        <w:rPr>
          <w:b/>
          <w:bCs/>
          <w:sz w:val="18"/>
        </w:rPr>
        <w:t xml:space="preserve">月 </w:t>
      </w:r>
      <w:r>
        <w:rPr>
          <w:rFonts w:ascii="Times New Roman" w:eastAsia="Times New Roman"/>
          <w:b/>
          <w:bCs/>
          <w:sz w:val="18"/>
        </w:rPr>
        <w:t xml:space="preserve">18 </w:t>
      </w:r>
      <w:r>
        <w:rPr>
          <w:b/>
          <w:bCs/>
          <w:sz w:val="18"/>
        </w:rPr>
        <w:t>日批准</w:t>
      </w:r>
      <w:r>
        <w:rPr>
          <w:rFonts w:ascii="Times New Roman" w:eastAsia="Times New Roman"/>
          <w:b/>
          <w:bCs/>
          <w:sz w:val="18"/>
        </w:rPr>
        <w:t>)</w:t>
      </w:r>
      <w:r>
        <w:rPr>
          <w:rFonts w:hint="eastAsia"/>
          <w:b/>
          <w:bCs/>
          <w:sz w:val="18"/>
          <w:lang w:eastAsia="zh-CN"/>
        </w:rPr>
        <w:t>、</w:t>
      </w:r>
      <w:r>
        <w:rPr>
          <w:b/>
          <w:bCs/>
          <w:sz w:val="18"/>
        </w:rPr>
        <w:t>青岛市</w:t>
      </w:r>
      <w:r>
        <w:rPr>
          <w:rFonts w:ascii="Times New Roman" w:eastAsia="Times New Roman"/>
          <w:b/>
          <w:bCs/>
          <w:sz w:val="18"/>
        </w:rPr>
        <w:t xml:space="preserve">(1986 </w:t>
      </w:r>
      <w:r>
        <w:rPr>
          <w:b/>
          <w:bCs/>
          <w:sz w:val="18"/>
        </w:rPr>
        <w:t xml:space="preserve">年 </w:t>
      </w:r>
      <w:r>
        <w:rPr>
          <w:rFonts w:ascii="Times New Roman" w:eastAsia="Times New Roman"/>
          <w:b/>
          <w:bCs/>
          <w:sz w:val="18"/>
        </w:rPr>
        <w:t xml:space="preserve">10 </w:t>
      </w:r>
      <w:r>
        <w:rPr>
          <w:b/>
          <w:bCs/>
          <w:sz w:val="18"/>
        </w:rPr>
        <w:t xml:space="preserve">月 </w:t>
      </w:r>
      <w:r>
        <w:rPr>
          <w:rFonts w:ascii="Times New Roman" w:eastAsia="Times New Roman"/>
          <w:b/>
          <w:bCs/>
          <w:sz w:val="18"/>
        </w:rPr>
        <w:t xml:space="preserve">15 </w:t>
      </w:r>
      <w:r>
        <w:rPr>
          <w:b/>
          <w:bCs/>
          <w:sz w:val="18"/>
        </w:rPr>
        <w:t>日批准</w:t>
      </w:r>
      <w:r>
        <w:rPr>
          <w:rFonts w:ascii="Times New Roman" w:eastAsia="Times New Roman"/>
          <w:b/>
          <w:bCs/>
          <w:sz w:val="18"/>
        </w:rPr>
        <w:t>)</w:t>
      </w:r>
      <w:r>
        <w:rPr>
          <w:rFonts w:hint="eastAsia"/>
          <w:b/>
          <w:bCs/>
          <w:sz w:val="18"/>
          <w:lang w:eastAsia="zh-CN"/>
        </w:rPr>
        <w:t>、</w:t>
      </w:r>
      <w:r>
        <w:rPr>
          <w:b/>
          <w:bCs/>
          <w:sz w:val="18"/>
        </w:rPr>
        <w:t>宁波市</w:t>
      </w:r>
      <w:r>
        <w:rPr>
          <w:rFonts w:ascii="Times New Roman" w:eastAsia="Times New Roman"/>
          <w:b/>
          <w:bCs/>
          <w:sz w:val="18"/>
        </w:rPr>
        <w:t xml:space="preserve">(1987 </w:t>
      </w:r>
      <w:r>
        <w:rPr>
          <w:b/>
          <w:bCs/>
          <w:sz w:val="18"/>
        </w:rPr>
        <w:t xml:space="preserve">年 </w:t>
      </w:r>
      <w:r>
        <w:rPr>
          <w:rFonts w:ascii="Times New Roman" w:eastAsia="Times New Roman"/>
          <w:b/>
          <w:bCs/>
          <w:sz w:val="18"/>
        </w:rPr>
        <w:t xml:space="preserve">2 </w:t>
      </w:r>
      <w:r>
        <w:rPr>
          <w:b/>
          <w:bCs/>
          <w:sz w:val="18"/>
        </w:rPr>
        <w:t xml:space="preserve">月 </w:t>
      </w:r>
      <w:r>
        <w:rPr>
          <w:rFonts w:ascii="Times New Roman" w:eastAsia="Times New Roman"/>
          <w:b/>
          <w:bCs/>
          <w:sz w:val="18"/>
        </w:rPr>
        <w:t xml:space="preserve">24 </w:t>
      </w:r>
      <w:r>
        <w:rPr>
          <w:b/>
          <w:bCs/>
          <w:sz w:val="18"/>
        </w:rPr>
        <w:t>日批准</w:t>
      </w:r>
      <w:r>
        <w:rPr>
          <w:rFonts w:ascii="Times New Roman" w:eastAsia="Times New Roman"/>
          <w:b/>
          <w:bCs/>
          <w:sz w:val="18"/>
        </w:rPr>
        <w:t>)</w:t>
      </w:r>
      <w:r>
        <w:rPr>
          <w:rFonts w:hint="eastAsia"/>
          <w:b/>
          <w:bCs/>
          <w:sz w:val="18"/>
          <w:lang w:eastAsia="zh-CN"/>
        </w:rPr>
        <w:t>、</w:t>
      </w:r>
      <w:r>
        <w:rPr>
          <w:b/>
          <w:bCs/>
          <w:sz w:val="18"/>
        </w:rPr>
        <w:t>厦门市</w:t>
      </w:r>
      <w:r>
        <w:rPr>
          <w:rFonts w:ascii="Times New Roman" w:eastAsia="Times New Roman"/>
          <w:b/>
          <w:bCs/>
          <w:sz w:val="18"/>
        </w:rPr>
        <w:t xml:space="preserve">(1988 </w:t>
      </w:r>
      <w:r>
        <w:rPr>
          <w:b/>
          <w:bCs/>
          <w:sz w:val="18"/>
        </w:rPr>
        <w:t xml:space="preserve">年 </w:t>
      </w:r>
      <w:r>
        <w:rPr>
          <w:rFonts w:ascii="Times New Roman" w:eastAsia="Times New Roman"/>
          <w:b/>
          <w:bCs/>
          <w:sz w:val="18"/>
        </w:rPr>
        <w:t xml:space="preserve">4 </w:t>
      </w:r>
      <w:r>
        <w:rPr>
          <w:b/>
          <w:bCs/>
          <w:sz w:val="18"/>
        </w:rPr>
        <w:t xml:space="preserve">月 </w:t>
      </w:r>
      <w:r>
        <w:rPr>
          <w:rFonts w:ascii="Times New Roman" w:eastAsia="Times New Roman"/>
          <w:b/>
          <w:bCs/>
          <w:sz w:val="18"/>
        </w:rPr>
        <w:t xml:space="preserve">18 </w:t>
      </w:r>
      <w:r>
        <w:rPr>
          <w:b/>
          <w:bCs/>
          <w:sz w:val="18"/>
        </w:rPr>
        <w:t>日批准</w:t>
      </w:r>
      <w:r>
        <w:rPr>
          <w:rFonts w:ascii="Times New Roman" w:eastAsia="Times New Roman"/>
          <w:b/>
          <w:bCs/>
          <w:sz w:val="18"/>
        </w:rPr>
        <w:t>)</w:t>
      </w:r>
      <w:r>
        <w:rPr>
          <w:rFonts w:hint="eastAsia"/>
          <w:b/>
          <w:bCs/>
          <w:sz w:val="18"/>
          <w:lang w:eastAsia="zh-CN"/>
        </w:rPr>
        <w:t>、</w:t>
      </w:r>
      <w:r>
        <w:rPr>
          <w:b/>
          <w:bCs/>
          <w:sz w:val="18"/>
        </w:rPr>
        <w:t>深圳市</w:t>
      </w:r>
      <w:r>
        <w:rPr>
          <w:rFonts w:ascii="Times New Roman" w:eastAsia="Times New Roman"/>
          <w:b/>
          <w:bCs/>
          <w:sz w:val="18"/>
        </w:rPr>
        <w:t xml:space="preserve">(1988 </w:t>
      </w:r>
      <w:r>
        <w:rPr>
          <w:b/>
          <w:bCs/>
          <w:sz w:val="18"/>
        </w:rPr>
        <w:t xml:space="preserve">年 </w:t>
      </w:r>
      <w:r>
        <w:rPr>
          <w:rFonts w:ascii="Times New Roman" w:eastAsia="Times New Roman"/>
          <w:b/>
          <w:bCs/>
          <w:sz w:val="18"/>
        </w:rPr>
        <w:t xml:space="preserve">10 </w:t>
      </w:r>
      <w:r>
        <w:rPr>
          <w:b/>
          <w:bCs/>
          <w:sz w:val="18"/>
        </w:rPr>
        <w:t xml:space="preserve">月 </w:t>
      </w:r>
      <w:r>
        <w:rPr>
          <w:rFonts w:ascii="Times New Roman" w:eastAsia="Times New Roman"/>
          <w:b/>
          <w:bCs/>
          <w:sz w:val="18"/>
        </w:rPr>
        <w:t xml:space="preserve">3 </w:t>
      </w:r>
      <w:r>
        <w:rPr>
          <w:b/>
          <w:bCs/>
          <w:sz w:val="18"/>
        </w:rPr>
        <w:t>日批准</w:t>
      </w:r>
      <w:r>
        <w:rPr>
          <w:rFonts w:ascii="Times New Roman" w:eastAsia="Times New Roman"/>
          <w:b/>
          <w:bCs/>
          <w:sz w:val="18"/>
        </w:rPr>
        <w:t>)</w:t>
      </w:r>
    </w:p>
  </w:footnote>
  <w:footnote w:id="11">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pPr>
      <w:r>
        <w:rPr>
          <w:rStyle w:val="24"/>
        </w:rPr>
        <w:footnoteRef/>
      </w:r>
      <w:r>
        <w:t xml:space="preserve"> </w:t>
      </w:r>
      <w:r>
        <w:rPr>
          <w:rFonts w:hint="eastAsia" w:ascii="宋体" w:hAnsi="宋体" w:cs="宋体"/>
          <w:b/>
          <w:sz w:val="18"/>
          <w:szCs w:val="18"/>
        </w:rPr>
        <w:t>城市规模由《第一财经周刊》评选，是根据一系列的经济、政治和学术资源等指标综合评比后，划分的名单。</w:t>
      </w:r>
    </w:p>
  </w:footnote>
  <w:footnote w:id="12">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eastAsia="宋体"/>
          <w:b/>
          <w:bCs/>
          <w:lang w:val="en-US" w:eastAsia="zh-CN"/>
        </w:rPr>
      </w:pPr>
      <w:r>
        <w:rPr>
          <w:rStyle w:val="24"/>
          <w:b/>
          <w:bCs/>
        </w:rPr>
        <w:footnoteRef/>
      </w:r>
      <w:r>
        <w:rPr>
          <w:b/>
          <w:bCs/>
        </w:rPr>
        <w:t xml:space="preserve"> </w:t>
      </w:r>
      <w:r>
        <w:rPr>
          <w:rFonts w:hint="eastAsia"/>
          <w:b/>
          <w:bCs/>
          <w:lang w:val="en-US" w:eastAsia="zh-CN"/>
        </w:rPr>
        <w:t>人才回报是指毕业生毕业之后留在院校所在地就业。</w:t>
      </w:r>
    </w:p>
  </w:footnote>
  <w:footnote w:id="13">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eastAsia="宋体"/>
          <w:b/>
          <w:bCs/>
          <w:lang w:val="en-US" w:eastAsia="zh-CN"/>
        </w:rPr>
      </w:pPr>
      <w:r>
        <w:rPr>
          <w:rStyle w:val="24"/>
          <w:b/>
          <w:bCs/>
        </w:rPr>
        <w:footnoteRef/>
      </w:r>
      <w:r>
        <w:rPr>
          <w:b/>
          <w:bCs/>
        </w:rPr>
        <w:t xml:space="preserve"> </w:t>
      </w:r>
      <w:r>
        <w:rPr>
          <w:rFonts w:hint="eastAsia"/>
          <w:b/>
          <w:bCs/>
          <w:lang w:val="en-US" w:eastAsia="zh-CN"/>
        </w:rPr>
        <w:t>毕业生回流是指毕业生毕业后回到自己的生源所在地就业。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1028065</wp:posOffset>
              </wp:positionH>
              <wp:positionV relativeFrom="page">
                <wp:posOffset>730250</wp:posOffset>
              </wp:positionV>
              <wp:extent cx="5459095" cy="635"/>
              <wp:effectExtent l="0" t="4445" r="8255" b="8890"/>
              <wp:wrapNone/>
              <wp:docPr id="10000" name="直线 1067"/>
              <wp:cNvGraphicFramePr/>
              <a:graphic xmlns:a="http://schemas.openxmlformats.org/drawingml/2006/main">
                <a:graphicData uri="http://schemas.microsoft.com/office/word/2010/wordprocessingShape">
                  <wps:wsp>
                    <wps:cNvCnPr/>
                    <wps:spPr>
                      <a:xfrm>
                        <a:off x="0" y="0"/>
                        <a:ext cx="5459095" cy="635"/>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67" o:spid="_x0000_s1026" o:spt="20" style="position:absolute;left:0pt;margin-left:80.95pt;margin-top:57.5pt;height:0.05pt;width:429.85pt;mso-position-horizontal-relative:page;mso-position-vertical-relative:page;z-index:-251657216;mso-width-relative:page;mso-height-relative:page;" filled="f" stroked="t" coordsize="21600,21600" o:gfxdata="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k9zidYAAAAMAQAADwAAAAAAAAABACAAAAAiAAAAZHJzL2Rvd25yZXYueG1sUEsBAhQAFAAAAAgA&#10;h07iQCryyc7uAQAA5AMAAA4AAAAAAAAAAQAgAAAAJQEAAGRycy9lMm9Eb2MueG1sUEsFBgAAAAAG&#10;AAYAWQEAAIU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927100</wp:posOffset>
              </wp:positionH>
              <wp:positionV relativeFrom="page">
                <wp:posOffset>542925</wp:posOffset>
              </wp:positionV>
              <wp:extent cx="5721985" cy="172720"/>
              <wp:effectExtent l="0" t="0" r="0" b="0"/>
              <wp:wrapNone/>
              <wp:docPr id="10001" name="文本框 1068"/>
              <wp:cNvGraphicFramePr/>
              <a:graphic xmlns:a="http://schemas.openxmlformats.org/drawingml/2006/main">
                <a:graphicData uri="http://schemas.microsoft.com/office/word/2010/wordprocessingShape">
                  <wps:wsp>
                    <wps:cNvSpPr txBox="1"/>
                    <wps:spPr>
                      <a:xfrm>
                        <a:off x="0" y="0"/>
                        <a:ext cx="5721985" cy="1727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spacing w:val="-9"/>
                              <w:sz w:val="18"/>
                              <w:szCs w:val="18"/>
                              <w:lang w:eastAsia="zh-Hans"/>
                            </w:rPr>
                          </w:pPr>
                          <w:r>
                            <w:rPr>
                              <w:rFonts w:hint="eastAsia" w:ascii="微软雅黑" w:hAnsi="微软雅黑" w:eastAsia="微软雅黑" w:cs="微软雅黑"/>
                              <w:spacing w:val="-9"/>
                              <w:sz w:val="18"/>
                              <w:szCs w:val="18"/>
                              <w:lang w:val="en-US" w:eastAsia="zh-CN"/>
                            </w:rPr>
                            <w:t>安徽艺术职业学院</w:t>
                          </w:r>
                          <w:r>
                            <w:rPr>
                              <w:rFonts w:hint="eastAsia" w:ascii="微软雅黑" w:hAnsi="微软雅黑" w:eastAsia="微软雅黑" w:cs="微软雅黑"/>
                              <w:spacing w:val="-9"/>
                              <w:sz w:val="18"/>
                              <w:szCs w:val="18"/>
                              <w:lang w:eastAsia="zh-CN"/>
                            </w:rPr>
                            <w:t>2023届</w:t>
                          </w:r>
                          <w:r>
                            <w:rPr>
                              <w:rFonts w:hint="eastAsia" w:ascii="微软雅黑" w:hAnsi="微软雅黑" w:eastAsia="微软雅黑" w:cs="微软雅黑"/>
                              <w:spacing w:val="-9"/>
                              <w:sz w:val="18"/>
                              <w:szCs w:val="18"/>
                              <w:lang w:eastAsia="zh-Hans"/>
                            </w:rPr>
                            <w:t>毕业生就业质量年度报告</w:t>
                          </w:r>
                        </w:p>
                        <w:p>
                          <w:pPr>
                            <w:jc w:val="center"/>
                            <w:rPr>
                              <w:rFonts w:hint="eastAsia"/>
                            </w:rPr>
                          </w:pPr>
                        </w:p>
                      </w:txbxContent>
                    </wps:txbx>
                    <wps:bodyPr vert="horz" wrap="square" lIns="0" tIns="0" rIns="0" bIns="0" anchor="t" anchorCtr="0" upright="1"/>
                  </wps:wsp>
                </a:graphicData>
              </a:graphic>
            </wp:anchor>
          </w:drawing>
        </mc:Choice>
        <mc:Fallback>
          <w:pict>
            <v:shape id="文本框 1068" o:spid="_x0000_s1026" o:spt="202" type="#_x0000_t202" style="position:absolute;left:0pt;margin-left:73pt;margin-top:42.75pt;height:13.6pt;width:450.55pt;mso-position-horizontal-relative:page;mso-position-vertical-relative:page;z-index:-251656192;mso-width-relative:page;mso-height-relative:page;" filled="f" stroked="f" coordsize="21600,21600" o:gfxdata="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iu5gY2gAAAAsB&#10;AAAPAAAAAAAAAAEAIAAAACIAAABkcnMvZG93bnJldi54bWxQSwECFAAUAAAACACHTuJAs6A3VOAB&#10;AACsAwAADgAAAAAAAAABACAAAAApAQAAZHJzL2Uyb0RvYy54bWxQSwUGAAAAAAYABgBZAQAAewUA&#10;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spacing w:val="-9"/>
                        <w:sz w:val="18"/>
                        <w:szCs w:val="18"/>
                        <w:lang w:eastAsia="zh-Hans"/>
                      </w:rPr>
                    </w:pPr>
                    <w:r>
                      <w:rPr>
                        <w:rFonts w:hint="eastAsia" w:ascii="微软雅黑" w:hAnsi="微软雅黑" w:eastAsia="微软雅黑" w:cs="微软雅黑"/>
                        <w:spacing w:val="-9"/>
                        <w:sz w:val="18"/>
                        <w:szCs w:val="18"/>
                        <w:lang w:val="en-US" w:eastAsia="zh-CN"/>
                      </w:rPr>
                      <w:t>安徽艺术职业学院</w:t>
                    </w:r>
                    <w:r>
                      <w:rPr>
                        <w:rFonts w:hint="eastAsia" w:ascii="微软雅黑" w:hAnsi="微软雅黑" w:eastAsia="微软雅黑" w:cs="微软雅黑"/>
                        <w:spacing w:val="-9"/>
                        <w:sz w:val="18"/>
                        <w:szCs w:val="18"/>
                        <w:lang w:eastAsia="zh-CN"/>
                      </w:rPr>
                      <w:t>2023届</w:t>
                    </w:r>
                    <w:r>
                      <w:rPr>
                        <w:rFonts w:hint="eastAsia" w:ascii="微软雅黑" w:hAnsi="微软雅黑" w:eastAsia="微软雅黑" w:cs="微软雅黑"/>
                        <w:spacing w:val="-9"/>
                        <w:sz w:val="18"/>
                        <w:szCs w:val="18"/>
                        <w:lang w:eastAsia="zh-Hans"/>
                      </w:rPr>
                      <w:t>毕业生就业质量年度报告</w:t>
                    </w:r>
                  </w:p>
                  <w:p>
                    <w:pPr>
                      <w:jc w:val="center"/>
                      <w:rPr>
                        <w:rFonts w:hint="eastAsia"/>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3D4D6"/>
    <w:multiLevelType w:val="singleLevel"/>
    <w:tmpl w:val="8033D4D6"/>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1">
    <w:nsid w:val="B1508AEF"/>
    <w:multiLevelType w:val="singleLevel"/>
    <w:tmpl w:val="B1508AEF"/>
    <w:lvl w:ilvl="0" w:tentative="0">
      <w:start w:val="1"/>
      <w:numFmt w:val="decimal"/>
      <w:suff w:val="nothing"/>
      <w:lvlText w:val="(%1)"/>
      <w:lvlJc w:val="left"/>
      <w:pPr>
        <w:ind w:left="845" w:hanging="425"/>
      </w:pPr>
      <w:rPr>
        <w:rFonts w:hint="default" w:ascii="宋体" w:hAnsi="宋体" w:eastAsia="宋体" w:cs="宋体"/>
        <w:sz w:val="28"/>
        <w:szCs w:val="28"/>
      </w:rPr>
    </w:lvl>
  </w:abstractNum>
  <w:abstractNum w:abstractNumId="2">
    <w:nsid w:val="BB503741"/>
    <w:multiLevelType w:val="singleLevel"/>
    <w:tmpl w:val="BB503741"/>
    <w:lvl w:ilvl="0" w:tentative="0">
      <w:start w:val="1"/>
      <w:numFmt w:val="decimal"/>
      <w:suff w:val="nothing"/>
      <w:lvlText w:val="(%1)"/>
      <w:lvlJc w:val="left"/>
      <w:pPr>
        <w:ind w:left="845" w:hanging="425"/>
      </w:pPr>
      <w:rPr>
        <w:rFonts w:hint="default" w:ascii="宋体" w:hAnsi="宋体" w:eastAsia="宋体" w:cs="宋体"/>
        <w:sz w:val="28"/>
        <w:szCs w:val="28"/>
      </w:rPr>
    </w:lvl>
  </w:abstractNum>
  <w:abstractNum w:abstractNumId="3">
    <w:nsid w:val="C45E41A9"/>
    <w:multiLevelType w:val="singleLevel"/>
    <w:tmpl w:val="C45E41A9"/>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4">
    <w:nsid w:val="CA9E079C"/>
    <w:multiLevelType w:val="singleLevel"/>
    <w:tmpl w:val="CA9E079C"/>
    <w:lvl w:ilvl="0" w:tentative="0">
      <w:start w:val="1"/>
      <w:numFmt w:val="chineseCounting"/>
      <w:suff w:val="nothing"/>
      <w:lvlText w:val="%1、"/>
      <w:lvlJc w:val="left"/>
      <w:rPr>
        <w:color w:val="000000"/>
        <w:sz w:val="28"/>
        <w:szCs w:val="28"/>
      </w:rPr>
    </w:lvl>
  </w:abstractNum>
  <w:abstractNum w:abstractNumId="5">
    <w:nsid w:val="CD13F68E"/>
    <w:multiLevelType w:val="singleLevel"/>
    <w:tmpl w:val="CD13F68E"/>
    <w:lvl w:ilvl="0" w:tentative="0">
      <w:start w:val="1"/>
      <w:numFmt w:val="chineseCounting"/>
      <w:suff w:val="nothing"/>
      <w:lvlText w:val="（%1）"/>
      <w:lvlJc w:val="left"/>
      <w:pPr>
        <w:ind w:left="0" w:firstLine="420"/>
      </w:pPr>
      <w:rPr>
        <w:rFonts w:hint="eastAsia" w:ascii="楷体" w:hAnsi="楷体" w:eastAsia="楷体" w:cs="楷体"/>
        <w:sz w:val="28"/>
        <w:szCs w:val="28"/>
      </w:rPr>
    </w:lvl>
  </w:abstractNum>
  <w:abstractNum w:abstractNumId="6">
    <w:nsid w:val="D3B25C0D"/>
    <w:multiLevelType w:val="singleLevel"/>
    <w:tmpl w:val="D3B25C0D"/>
    <w:lvl w:ilvl="0" w:tentative="0">
      <w:start w:val="1"/>
      <w:numFmt w:val="chineseCounting"/>
      <w:suff w:val="nothing"/>
      <w:lvlText w:val="%1、"/>
      <w:lvlJc w:val="left"/>
      <w:rPr>
        <w:color w:val="000000"/>
        <w:sz w:val="28"/>
        <w:szCs w:val="28"/>
      </w:rPr>
    </w:lvl>
  </w:abstractNum>
  <w:abstractNum w:abstractNumId="7">
    <w:nsid w:val="D502EDA0"/>
    <w:multiLevelType w:val="singleLevel"/>
    <w:tmpl w:val="D502EDA0"/>
    <w:lvl w:ilvl="0" w:tentative="0">
      <w:start w:val="1"/>
      <w:numFmt w:val="chineseCounting"/>
      <w:suff w:val="nothing"/>
      <w:lvlText w:val="%1、"/>
      <w:lvlJc w:val="left"/>
      <w:rPr>
        <w:color w:val="000000"/>
        <w:sz w:val="28"/>
        <w:szCs w:val="28"/>
      </w:rPr>
    </w:lvl>
  </w:abstractNum>
  <w:abstractNum w:abstractNumId="8">
    <w:nsid w:val="E4B8E16E"/>
    <w:multiLevelType w:val="singleLevel"/>
    <w:tmpl w:val="E4B8E16E"/>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9">
    <w:nsid w:val="F6F323F6"/>
    <w:multiLevelType w:val="singleLevel"/>
    <w:tmpl w:val="F6F323F6"/>
    <w:lvl w:ilvl="0" w:tentative="0">
      <w:start w:val="1"/>
      <w:numFmt w:val="decimal"/>
      <w:lvlText w:val="(%1)"/>
      <w:lvlJc w:val="left"/>
      <w:pPr>
        <w:tabs>
          <w:tab w:val="left" w:pos="420"/>
        </w:tabs>
        <w:ind w:left="425" w:hanging="425"/>
      </w:pPr>
      <w:rPr>
        <w:rFonts w:hint="default"/>
        <w:sz w:val="28"/>
      </w:rPr>
    </w:lvl>
  </w:abstractNum>
  <w:abstractNum w:abstractNumId="10">
    <w:nsid w:val="FA4BAF2C"/>
    <w:multiLevelType w:val="singleLevel"/>
    <w:tmpl w:val="FA4BAF2C"/>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11">
    <w:nsid w:val="03302FD1"/>
    <w:multiLevelType w:val="singleLevel"/>
    <w:tmpl w:val="03302FD1"/>
    <w:lvl w:ilvl="0" w:tentative="0">
      <w:start w:val="1"/>
      <w:numFmt w:val="decimal"/>
      <w:lvlText w:val="(%1)"/>
      <w:lvlJc w:val="left"/>
      <w:pPr>
        <w:tabs>
          <w:tab w:val="left" w:pos="420"/>
        </w:tabs>
        <w:ind w:left="425" w:hanging="425"/>
      </w:pPr>
      <w:rPr>
        <w:rFonts w:hint="default"/>
        <w:sz w:val="28"/>
      </w:rPr>
    </w:lvl>
  </w:abstractNum>
  <w:abstractNum w:abstractNumId="12">
    <w:nsid w:val="25720D18"/>
    <w:multiLevelType w:val="singleLevel"/>
    <w:tmpl w:val="25720D18"/>
    <w:lvl w:ilvl="0" w:tentative="0">
      <w:start w:val="1"/>
      <w:numFmt w:val="chineseCounting"/>
      <w:suff w:val="nothing"/>
      <w:lvlText w:val="%1、"/>
      <w:lvlJc w:val="left"/>
      <w:rPr>
        <w:color w:val="000000"/>
        <w:sz w:val="28"/>
        <w:szCs w:val="28"/>
      </w:rPr>
    </w:lvl>
  </w:abstractNum>
  <w:abstractNum w:abstractNumId="13">
    <w:nsid w:val="2814B9E4"/>
    <w:multiLevelType w:val="singleLevel"/>
    <w:tmpl w:val="2814B9E4"/>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14">
    <w:nsid w:val="40E7D6BF"/>
    <w:multiLevelType w:val="singleLevel"/>
    <w:tmpl w:val="40E7D6BF"/>
    <w:lvl w:ilvl="0" w:tentative="0">
      <w:start w:val="1"/>
      <w:numFmt w:val="chineseCounting"/>
      <w:suff w:val="nothing"/>
      <w:lvlText w:val="%1、"/>
      <w:lvlJc w:val="left"/>
      <w:rPr>
        <w:color w:val="000000"/>
        <w:sz w:val="28"/>
        <w:szCs w:val="28"/>
      </w:rPr>
    </w:lvl>
  </w:abstractNum>
  <w:abstractNum w:abstractNumId="15">
    <w:nsid w:val="5A44E29D"/>
    <w:multiLevelType w:val="singleLevel"/>
    <w:tmpl w:val="5A44E29D"/>
    <w:lvl w:ilvl="0" w:tentative="0">
      <w:start w:val="1"/>
      <w:numFmt w:val="chineseCounting"/>
      <w:suff w:val="nothing"/>
      <w:lvlText w:val="%1、"/>
      <w:lvlJc w:val="left"/>
      <w:rPr>
        <w:color w:val="000000"/>
        <w:sz w:val="28"/>
        <w:szCs w:val="28"/>
      </w:rPr>
    </w:lvl>
  </w:abstractNum>
  <w:abstractNum w:abstractNumId="16">
    <w:nsid w:val="76D00792"/>
    <w:multiLevelType w:val="singleLevel"/>
    <w:tmpl w:val="76D00792"/>
    <w:lvl w:ilvl="0" w:tentative="0">
      <w:start w:val="1"/>
      <w:numFmt w:val="chineseCounting"/>
      <w:suff w:val="nothing"/>
      <w:lvlText w:val="（%1）"/>
      <w:lvlJc w:val="left"/>
      <w:pPr>
        <w:ind w:left="0" w:firstLine="420"/>
      </w:pPr>
      <w:rPr>
        <w:rFonts w:hint="eastAsia"/>
      </w:rPr>
    </w:lvl>
  </w:abstractNum>
  <w:num w:numId="1">
    <w:abstractNumId w:val="15"/>
  </w:num>
  <w:num w:numId="2">
    <w:abstractNumId w:val="16"/>
  </w:num>
  <w:num w:numId="3">
    <w:abstractNumId w:val="4"/>
  </w:num>
  <w:num w:numId="4">
    <w:abstractNumId w:val="7"/>
  </w:num>
  <w:num w:numId="5">
    <w:abstractNumId w:val="5"/>
  </w:num>
  <w:num w:numId="6">
    <w:abstractNumId w:val="12"/>
  </w:num>
  <w:num w:numId="7">
    <w:abstractNumId w:val="0"/>
  </w:num>
  <w:num w:numId="8">
    <w:abstractNumId w:val="2"/>
  </w:num>
  <w:num w:numId="9">
    <w:abstractNumId w:val="1"/>
  </w:num>
  <w:num w:numId="10">
    <w:abstractNumId w:val="13"/>
  </w:num>
  <w:num w:numId="11">
    <w:abstractNumId w:val="8"/>
  </w:num>
  <w:num w:numId="12">
    <w:abstractNumId w:val="3"/>
  </w:num>
  <w:num w:numId="13">
    <w:abstractNumId w:val="10"/>
  </w:num>
  <w:num w:numId="14">
    <w:abstractNumId w:val="14"/>
  </w:num>
  <w:num w:numId="15">
    <w:abstractNumId w:val="9"/>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28"/>
    <w:footnote w:id="29"/>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172A27"/>
    <w:rsid w:val="00012BEE"/>
    <w:rsid w:val="00017DFB"/>
    <w:rsid w:val="00024A6C"/>
    <w:rsid w:val="000264DC"/>
    <w:rsid w:val="00031663"/>
    <w:rsid w:val="00032E89"/>
    <w:rsid w:val="00043DAB"/>
    <w:rsid w:val="00051F55"/>
    <w:rsid w:val="00052BFE"/>
    <w:rsid w:val="0005777E"/>
    <w:rsid w:val="000606D0"/>
    <w:rsid w:val="00075346"/>
    <w:rsid w:val="00080624"/>
    <w:rsid w:val="00082A64"/>
    <w:rsid w:val="00082DF3"/>
    <w:rsid w:val="00087327"/>
    <w:rsid w:val="00087585"/>
    <w:rsid w:val="00097BCA"/>
    <w:rsid w:val="000C1267"/>
    <w:rsid w:val="000C6957"/>
    <w:rsid w:val="000D1B50"/>
    <w:rsid w:val="000D1DB9"/>
    <w:rsid w:val="000D3D34"/>
    <w:rsid w:val="000E42B5"/>
    <w:rsid w:val="000E4C0D"/>
    <w:rsid w:val="000E5B44"/>
    <w:rsid w:val="001003EA"/>
    <w:rsid w:val="001009B3"/>
    <w:rsid w:val="0010143F"/>
    <w:rsid w:val="001101DC"/>
    <w:rsid w:val="00110475"/>
    <w:rsid w:val="00115D17"/>
    <w:rsid w:val="0012088F"/>
    <w:rsid w:val="001223C2"/>
    <w:rsid w:val="00134A77"/>
    <w:rsid w:val="00143283"/>
    <w:rsid w:val="00143292"/>
    <w:rsid w:val="00150A99"/>
    <w:rsid w:val="001603E0"/>
    <w:rsid w:val="001605D2"/>
    <w:rsid w:val="00160A12"/>
    <w:rsid w:val="0016640D"/>
    <w:rsid w:val="0017133E"/>
    <w:rsid w:val="00172538"/>
    <w:rsid w:val="00172875"/>
    <w:rsid w:val="00174B99"/>
    <w:rsid w:val="00181B11"/>
    <w:rsid w:val="00184584"/>
    <w:rsid w:val="00187A7E"/>
    <w:rsid w:val="00190D78"/>
    <w:rsid w:val="001945E8"/>
    <w:rsid w:val="001A19A2"/>
    <w:rsid w:val="001A1CF0"/>
    <w:rsid w:val="001A2AB7"/>
    <w:rsid w:val="001A4267"/>
    <w:rsid w:val="001A54C8"/>
    <w:rsid w:val="001A59C5"/>
    <w:rsid w:val="001A718C"/>
    <w:rsid w:val="001C1AE2"/>
    <w:rsid w:val="001D40A3"/>
    <w:rsid w:val="001E1966"/>
    <w:rsid w:val="001E338C"/>
    <w:rsid w:val="001E3D87"/>
    <w:rsid w:val="001E4AAE"/>
    <w:rsid w:val="001F3F27"/>
    <w:rsid w:val="001F63FE"/>
    <w:rsid w:val="00203514"/>
    <w:rsid w:val="00206715"/>
    <w:rsid w:val="0021546A"/>
    <w:rsid w:val="00215ECD"/>
    <w:rsid w:val="002204B1"/>
    <w:rsid w:val="00221406"/>
    <w:rsid w:val="00223F34"/>
    <w:rsid w:val="002245B0"/>
    <w:rsid w:val="00226942"/>
    <w:rsid w:val="00230BF5"/>
    <w:rsid w:val="0023107A"/>
    <w:rsid w:val="00231F5C"/>
    <w:rsid w:val="00234AFE"/>
    <w:rsid w:val="002363A4"/>
    <w:rsid w:val="0024014E"/>
    <w:rsid w:val="00241864"/>
    <w:rsid w:val="002419BE"/>
    <w:rsid w:val="00242DCF"/>
    <w:rsid w:val="002439C3"/>
    <w:rsid w:val="002458C1"/>
    <w:rsid w:val="00245F7F"/>
    <w:rsid w:val="00251B29"/>
    <w:rsid w:val="002527C3"/>
    <w:rsid w:val="00252D2F"/>
    <w:rsid w:val="00257540"/>
    <w:rsid w:val="00271496"/>
    <w:rsid w:val="00281488"/>
    <w:rsid w:val="002815E1"/>
    <w:rsid w:val="0029144D"/>
    <w:rsid w:val="0029393B"/>
    <w:rsid w:val="00297A87"/>
    <w:rsid w:val="002A101A"/>
    <w:rsid w:val="002A1604"/>
    <w:rsid w:val="002A19A6"/>
    <w:rsid w:val="002A2395"/>
    <w:rsid w:val="002A5943"/>
    <w:rsid w:val="002B1171"/>
    <w:rsid w:val="002B1EEB"/>
    <w:rsid w:val="002C09A0"/>
    <w:rsid w:val="002C5037"/>
    <w:rsid w:val="002D43D9"/>
    <w:rsid w:val="002D7444"/>
    <w:rsid w:val="002E3C78"/>
    <w:rsid w:val="002E5E56"/>
    <w:rsid w:val="00310DDE"/>
    <w:rsid w:val="00314BB7"/>
    <w:rsid w:val="00315CEB"/>
    <w:rsid w:val="00317A87"/>
    <w:rsid w:val="00320401"/>
    <w:rsid w:val="00324C81"/>
    <w:rsid w:val="003269B8"/>
    <w:rsid w:val="0033653E"/>
    <w:rsid w:val="003371BF"/>
    <w:rsid w:val="00350753"/>
    <w:rsid w:val="003521B5"/>
    <w:rsid w:val="003568F0"/>
    <w:rsid w:val="003615D5"/>
    <w:rsid w:val="00365874"/>
    <w:rsid w:val="00366392"/>
    <w:rsid w:val="00370908"/>
    <w:rsid w:val="0037173E"/>
    <w:rsid w:val="00374C06"/>
    <w:rsid w:val="003852F2"/>
    <w:rsid w:val="0039123B"/>
    <w:rsid w:val="00391324"/>
    <w:rsid w:val="00394B92"/>
    <w:rsid w:val="003965B4"/>
    <w:rsid w:val="0039665C"/>
    <w:rsid w:val="003A56E5"/>
    <w:rsid w:val="003B1B69"/>
    <w:rsid w:val="003B2292"/>
    <w:rsid w:val="003B3109"/>
    <w:rsid w:val="003B66F8"/>
    <w:rsid w:val="003C20F9"/>
    <w:rsid w:val="003C590C"/>
    <w:rsid w:val="003C7BED"/>
    <w:rsid w:val="003D69E3"/>
    <w:rsid w:val="003E120C"/>
    <w:rsid w:val="003E3D37"/>
    <w:rsid w:val="003F46BB"/>
    <w:rsid w:val="004012DA"/>
    <w:rsid w:val="004064C9"/>
    <w:rsid w:val="00406B10"/>
    <w:rsid w:val="00415F72"/>
    <w:rsid w:val="00415FEB"/>
    <w:rsid w:val="004208BA"/>
    <w:rsid w:val="004239DC"/>
    <w:rsid w:val="00435386"/>
    <w:rsid w:val="00442A21"/>
    <w:rsid w:val="00444AF2"/>
    <w:rsid w:val="00447BEA"/>
    <w:rsid w:val="00456BD4"/>
    <w:rsid w:val="00461E2B"/>
    <w:rsid w:val="00464AA2"/>
    <w:rsid w:val="00471E2D"/>
    <w:rsid w:val="00473D40"/>
    <w:rsid w:val="00497F89"/>
    <w:rsid w:val="004A0048"/>
    <w:rsid w:val="004A1752"/>
    <w:rsid w:val="004C273B"/>
    <w:rsid w:val="004C366E"/>
    <w:rsid w:val="004C6D11"/>
    <w:rsid w:val="004D096E"/>
    <w:rsid w:val="004D0EFE"/>
    <w:rsid w:val="004D4E72"/>
    <w:rsid w:val="004E44FF"/>
    <w:rsid w:val="004F0C82"/>
    <w:rsid w:val="004F2759"/>
    <w:rsid w:val="004F6DA0"/>
    <w:rsid w:val="00503BB0"/>
    <w:rsid w:val="005156F3"/>
    <w:rsid w:val="0051658B"/>
    <w:rsid w:val="00520145"/>
    <w:rsid w:val="005226FA"/>
    <w:rsid w:val="00524680"/>
    <w:rsid w:val="00530ED7"/>
    <w:rsid w:val="005318FF"/>
    <w:rsid w:val="00536D45"/>
    <w:rsid w:val="00542FF8"/>
    <w:rsid w:val="00544012"/>
    <w:rsid w:val="005508F9"/>
    <w:rsid w:val="0057075B"/>
    <w:rsid w:val="00576018"/>
    <w:rsid w:val="00594851"/>
    <w:rsid w:val="005A06B4"/>
    <w:rsid w:val="005A16CD"/>
    <w:rsid w:val="005A2125"/>
    <w:rsid w:val="005A4391"/>
    <w:rsid w:val="005B33D2"/>
    <w:rsid w:val="005B4888"/>
    <w:rsid w:val="005C0914"/>
    <w:rsid w:val="005C14EA"/>
    <w:rsid w:val="005C2525"/>
    <w:rsid w:val="005C39C3"/>
    <w:rsid w:val="005C5004"/>
    <w:rsid w:val="005D1A3F"/>
    <w:rsid w:val="005D5690"/>
    <w:rsid w:val="005D7F07"/>
    <w:rsid w:val="005E10BF"/>
    <w:rsid w:val="005E2075"/>
    <w:rsid w:val="005E4927"/>
    <w:rsid w:val="005F1352"/>
    <w:rsid w:val="005F5CA2"/>
    <w:rsid w:val="00614ABB"/>
    <w:rsid w:val="00617434"/>
    <w:rsid w:val="00617899"/>
    <w:rsid w:val="006264F6"/>
    <w:rsid w:val="00626C79"/>
    <w:rsid w:val="0062726D"/>
    <w:rsid w:val="0062732E"/>
    <w:rsid w:val="006347DF"/>
    <w:rsid w:val="00646044"/>
    <w:rsid w:val="00650375"/>
    <w:rsid w:val="006510B3"/>
    <w:rsid w:val="00651A6B"/>
    <w:rsid w:val="006533A1"/>
    <w:rsid w:val="00653829"/>
    <w:rsid w:val="00655869"/>
    <w:rsid w:val="006737D6"/>
    <w:rsid w:val="00695A9C"/>
    <w:rsid w:val="006B0B2B"/>
    <w:rsid w:val="006B5D55"/>
    <w:rsid w:val="006B6541"/>
    <w:rsid w:val="006C0A95"/>
    <w:rsid w:val="006C4BCB"/>
    <w:rsid w:val="006D4F9B"/>
    <w:rsid w:val="006D7DD5"/>
    <w:rsid w:val="006E1045"/>
    <w:rsid w:val="006E3BAE"/>
    <w:rsid w:val="006E6A4F"/>
    <w:rsid w:val="006E6B11"/>
    <w:rsid w:val="006F3521"/>
    <w:rsid w:val="006F4ADD"/>
    <w:rsid w:val="006F514D"/>
    <w:rsid w:val="00703284"/>
    <w:rsid w:val="007033FD"/>
    <w:rsid w:val="007159D0"/>
    <w:rsid w:val="0072715D"/>
    <w:rsid w:val="00727763"/>
    <w:rsid w:val="007325E8"/>
    <w:rsid w:val="00732824"/>
    <w:rsid w:val="00733358"/>
    <w:rsid w:val="00742239"/>
    <w:rsid w:val="0074626E"/>
    <w:rsid w:val="00760749"/>
    <w:rsid w:val="00772B77"/>
    <w:rsid w:val="00772E24"/>
    <w:rsid w:val="00774C37"/>
    <w:rsid w:val="007824C7"/>
    <w:rsid w:val="00782722"/>
    <w:rsid w:val="0078704D"/>
    <w:rsid w:val="00791D3A"/>
    <w:rsid w:val="007A3233"/>
    <w:rsid w:val="007A42FB"/>
    <w:rsid w:val="007A4EDE"/>
    <w:rsid w:val="007A6393"/>
    <w:rsid w:val="007B7206"/>
    <w:rsid w:val="007B72C5"/>
    <w:rsid w:val="007C33AB"/>
    <w:rsid w:val="007C61F7"/>
    <w:rsid w:val="007D2CB8"/>
    <w:rsid w:val="007D3786"/>
    <w:rsid w:val="007E0230"/>
    <w:rsid w:val="007E2A75"/>
    <w:rsid w:val="007E4063"/>
    <w:rsid w:val="007E5157"/>
    <w:rsid w:val="007E6F09"/>
    <w:rsid w:val="007F48DC"/>
    <w:rsid w:val="007F6E1B"/>
    <w:rsid w:val="007F75B8"/>
    <w:rsid w:val="00800632"/>
    <w:rsid w:val="00811F04"/>
    <w:rsid w:val="008173D6"/>
    <w:rsid w:val="0082466D"/>
    <w:rsid w:val="008255E9"/>
    <w:rsid w:val="008260AD"/>
    <w:rsid w:val="008269F6"/>
    <w:rsid w:val="00831308"/>
    <w:rsid w:val="00833A15"/>
    <w:rsid w:val="00833D47"/>
    <w:rsid w:val="00834AFE"/>
    <w:rsid w:val="00835BC6"/>
    <w:rsid w:val="00836CCF"/>
    <w:rsid w:val="00836CE5"/>
    <w:rsid w:val="008444C7"/>
    <w:rsid w:val="00853C11"/>
    <w:rsid w:val="008646CB"/>
    <w:rsid w:val="008700BD"/>
    <w:rsid w:val="008740E0"/>
    <w:rsid w:val="008777D7"/>
    <w:rsid w:val="00881528"/>
    <w:rsid w:val="00893ED4"/>
    <w:rsid w:val="0089430F"/>
    <w:rsid w:val="008A1469"/>
    <w:rsid w:val="008A3149"/>
    <w:rsid w:val="008A365C"/>
    <w:rsid w:val="008B3B34"/>
    <w:rsid w:val="008C3014"/>
    <w:rsid w:val="008C4A09"/>
    <w:rsid w:val="008D0E6D"/>
    <w:rsid w:val="008D343C"/>
    <w:rsid w:val="008D47B6"/>
    <w:rsid w:val="008D5B53"/>
    <w:rsid w:val="008D5E6B"/>
    <w:rsid w:val="008D7D9F"/>
    <w:rsid w:val="008E0C5E"/>
    <w:rsid w:val="008E23D4"/>
    <w:rsid w:val="008E334B"/>
    <w:rsid w:val="008E3D61"/>
    <w:rsid w:val="008F0C97"/>
    <w:rsid w:val="00905213"/>
    <w:rsid w:val="009058DB"/>
    <w:rsid w:val="00906F77"/>
    <w:rsid w:val="0091408C"/>
    <w:rsid w:val="0092705B"/>
    <w:rsid w:val="0092707B"/>
    <w:rsid w:val="00945A7B"/>
    <w:rsid w:val="00945EC4"/>
    <w:rsid w:val="009474A8"/>
    <w:rsid w:val="0095238C"/>
    <w:rsid w:val="00952F50"/>
    <w:rsid w:val="0097368F"/>
    <w:rsid w:val="0098216F"/>
    <w:rsid w:val="0099315C"/>
    <w:rsid w:val="009971BA"/>
    <w:rsid w:val="009A5216"/>
    <w:rsid w:val="009A7B0D"/>
    <w:rsid w:val="009B3C88"/>
    <w:rsid w:val="009C1404"/>
    <w:rsid w:val="009C32E0"/>
    <w:rsid w:val="009C6FFB"/>
    <w:rsid w:val="009D65C6"/>
    <w:rsid w:val="009D6DE9"/>
    <w:rsid w:val="009E091F"/>
    <w:rsid w:val="009E0A84"/>
    <w:rsid w:val="009E217B"/>
    <w:rsid w:val="009F07DF"/>
    <w:rsid w:val="009F20FF"/>
    <w:rsid w:val="009F5821"/>
    <w:rsid w:val="009F5D08"/>
    <w:rsid w:val="009F739B"/>
    <w:rsid w:val="00A011C6"/>
    <w:rsid w:val="00A05461"/>
    <w:rsid w:val="00A056A0"/>
    <w:rsid w:val="00A06304"/>
    <w:rsid w:val="00A06AE0"/>
    <w:rsid w:val="00A06B51"/>
    <w:rsid w:val="00A1222A"/>
    <w:rsid w:val="00A12294"/>
    <w:rsid w:val="00A1285A"/>
    <w:rsid w:val="00A12DDC"/>
    <w:rsid w:val="00A14977"/>
    <w:rsid w:val="00A1698A"/>
    <w:rsid w:val="00A31CB1"/>
    <w:rsid w:val="00A42C1A"/>
    <w:rsid w:val="00A456ED"/>
    <w:rsid w:val="00A46625"/>
    <w:rsid w:val="00A46A00"/>
    <w:rsid w:val="00A553CE"/>
    <w:rsid w:val="00A57A43"/>
    <w:rsid w:val="00A60A33"/>
    <w:rsid w:val="00A67193"/>
    <w:rsid w:val="00A673A7"/>
    <w:rsid w:val="00A70004"/>
    <w:rsid w:val="00A776F5"/>
    <w:rsid w:val="00A81FF9"/>
    <w:rsid w:val="00A83821"/>
    <w:rsid w:val="00A930BC"/>
    <w:rsid w:val="00A95955"/>
    <w:rsid w:val="00A96929"/>
    <w:rsid w:val="00A97DF2"/>
    <w:rsid w:val="00AA0784"/>
    <w:rsid w:val="00AA096F"/>
    <w:rsid w:val="00AA4FBD"/>
    <w:rsid w:val="00AB3DAD"/>
    <w:rsid w:val="00AB6469"/>
    <w:rsid w:val="00AC2F16"/>
    <w:rsid w:val="00AD0688"/>
    <w:rsid w:val="00AD0F2D"/>
    <w:rsid w:val="00AD798C"/>
    <w:rsid w:val="00AE67AA"/>
    <w:rsid w:val="00AF35A0"/>
    <w:rsid w:val="00AF5363"/>
    <w:rsid w:val="00B12419"/>
    <w:rsid w:val="00B1315B"/>
    <w:rsid w:val="00B23CE5"/>
    <w:rsid w:val="00B24011"/>
    <w:rsid w:val="00B243A0"/>
    <w:rsid w:val="00B31CB9"/>
    <w:rsid w:val="00B32E27"/>
    <w:rsid w:val="00B458A2"/>
    <w:rsid w:val="00B51DC4"/>
    <w:rsid w:val="00B55AA4"/>
    <w:rsid w:val="00B55F43"/>
    <w:rsid w:val="00B60115"/>
    <w:rsid w:val="00B620ED"/>
    <w:rsid w:val="00B67415"/>
    <w:rsid w:val="00B77FA6"/>
    <w:rsid w:val="00B813D5"/>
    <w:rsid w:val="00B86E86"/>
    <w:rsid w:val="00B9482F"/>
    <w:rsid w:val="00BA60D1"/>
    <w:rsid w:val="00BA6146"/>
    <w:rsid w:val="00BB0557"/>
    <w:rsid w:val="00BB0844"/>
    <w:rsid w:val="00BB34DE"/>
    <w:rsid w:val="00BB436D"/>
    <w:rsid w:val="00BB5A60"/>
    <w:rsid w:val="00BB5FDE"/>
    <w:rsid w:val="00BC0CB9"/>
    <w:rsid w:val="00BC3AF8"/>
    <w:rsid w:val="00BC6735"/>
    <w:rsid w:val="00BD45FA"/>
    <w:rsid w:val="00BD4675"/>
    <w:rsid w:val="00BD6DEB"/>
    <w:rsid w:val="00BE6DC3"/>
    <w:rsid w:val="00BF1A70"/>
    <w:rsid w:val="00BF2006"/>
    <w:rsid w:val="00BF4CF7"/>
    <w:rsid w:val="00BF7414"/>
    <w:rsid w:val="00C0192B"/>
    <w:rsid w:val="00C0666F"/>
    <w:rsid w:val="00C13CC6"/>
    <w:rsid w:val="00C13E7E"/>
    <w:rsid w:val="00C13EBA"/>
    <w:rsid w:val="00C17631"/>
    <w:rsid w:val="00C177E0"/>
    <w:rsid w:val="00C23672"/>
    <w:rsid w:val="00C24CDF"/>
    <w:rsid w:val="00C33C6E"/>
    <w:rsid w:val="00C4328B"/>
    <w:rsid w:val="00C434C1"/>
    <w:rsid w:val="00C446EA"/>
    <w:rsid w:val="00C52892"/>
    <w:rsid w:val="00C52CD9"/>
    <w:rsid w:val="00C56686"/>
    <w:rsid w:val="00C66449"/>
    <w:rsid w:val="00C66BE3"/>
    <w:rsid w:val="00C677D3"/>
    <w:rsid w:val="00C755C2"/>
    <w:rsid w:val="00C768D5"/>
    <w:rsid w:val="00C77780"/>
    <w:rsid w:val="00C85D16"/>
    <w:rsid w:val="00C94ADB"/>
    <w:rsid w:val="00C95DEF"/>
    <w:rsid w:val="00C9632B"/>
    <w:rsid w:val="00CA1BC6"/>
    <w:rsid w:val="00CB1B71"/>
    <w:rsid w:val="00CB266E"/>
    <w:rsid w:val="00CB313E"/>
    <w:rsid w:val="00CB767E"/>
    <w:rsid w:val="00CC52B0"/>
    <w:rsid w:val="00CC58A8"/>
    <w:rsid w:val="00CC767D"/>
    <w:rsid w:val="00CD16A8"/>
    <w:rsid w:val="00CD4208"/>
    <w:rsid w:val="00CD5AAC"/>
    <w:rsid w:val="00CE6B82"/>
    <w:rsid w:val="00CF41D4"/>
    <w:rsid w:val="00CF5F5D"/>
    <w:rsid w:val="00D01033"/>
    <w:rsid w:val="00D017CD"/>
    <w:rsid w:val="00D06A6D"/>
    <w:rsid w:val="00D163F8"/>
    <w:rsid w:val="00D16DDD"/>
    <w:rsid w:val="00D256C9"/>
    <w:rsid w:val="00D43407"/>
    <w:rsid w:val="00D63AED"/>
    <w:rsid w:val="00D6611B"/>
    <w:rsid w:val="00D711DD"/>
    <w:rsid w:val="00D758BA"/>
    <w:rsid w:val="00D773E5"/>
    <w:rsid w:val="00D8126A"/>
    <w:rsid w:val="00D84316"/>
    <w:rsid w:val="00D9051C"/>
    <w:rsid w:val="00D92C6B"/>
    <w:rsid w:val="00D93365"/>
    <w:rsid w:val="00D93811"/>
    <w:rsid w:val="00DA3039"/>
    <w:rsid w:val="00DA642B"/>
    <w:rsid w:val="00DB1E5E"/>
    <w:rsid w:val="00DC4D16"/>
    <w:rsid w:val="00DD03EA"/>
    <w:rsid w:val="00DD5ACB"/>
    <w:rsid w:val="00DE22A8"/>
    <w:rsid w:val="00DE231D"/>
    <w:rsid w:val="00DE4C39"/>
    <w:rsid w:val="00DE4C7D"/>
    <w:rsid w:val="00DE6C74"/>
    <w:rsid w:val="00DF3845"/>
    <w:rsid w:val="00E02E08"/>
    <w:rsid w:val="00E10D8C"/>
    <w:rsid w:val="00E11876"/>
    <w:rsid w:val="00E132C1"/>
    <w:rsid w:val="00E21B8A"/>
    <w:rsid w:val="00E231E8"/>
    <w:rsid w:val="00E31F37"/>
    <w:rsid w:val="00E34C5E"/>
    <w:rsid w:val="00E44378"/>
    <w:rsid w:val="00E44388"/>
    <w:rsid w:val="00E5226C"/>
    <w:rsid w:val="00E5692D"/>
    <w:rsid w:val="00E57E1A"/>
    <w:rsid w:val="00E60EC4"/>
    <w:rsid w:val="00E61091"/>
    <w:rsid w:val="00E62413"/>
    <w:rsid w:val="00E64470"/>
    <w:rsid w:val="00E709C6"/>
    <w:rsid w:val="00E73EE6"/>
    <w:rsid w:val="00E832AF"/>
    <w:rsid w:val="00E8722C"/>
    <w:rsid w:val="00E90C15"/>
    <w:rsid w:val="00E92573"/>
    <w:rsid w:val="00E93587"/>
    <w:rsid w:val="00E94376"/>
    <w:rsid w:val="00E95046"/>
    <w:rsid w:val="00E95E2C"/>
    <w:rsid w:val="00EA519B"/>
    <w:rsid w:val="00EA5D18"/>
    <w:rsid w:val="00EA7BA0"/>
    <w:rsid w:val="00EB43D7"/>
    <w:rsid w:val="00EB70E5"/>
    <w:rsid w:val="00ED0479"/>
    <w:rsid w:val="00ED5096"/>
    <w:rsid w:val="00ED616F"/>
    <w:rsid w:val="00ED7A94"/>
    <w:rsid w:val="00EF40F2"/>
    <w:rsid w:val="00F040D1"/>
    <w:rsid w:val="00F13B27"/>
    <w:rsid w:val="00F164EC"/>
    <w:rsid w:val="00F17179"/>
    <w:rsid w:val="00F2365F"/>
    <w:rsid w:val="00F32396"/>
    <w:rsid w:val="00F3617D"/>
    <w:rsid w:val="00F4038B"/>
    <w:rsid w:val="00F41DA6"/>
    <w:rsid w:val="00F435BC"/>
    <w:rsid w:val="00F47335"/>
    <w:rsid w:val="00F516F0"/>
    <w:rsid w:val="00F61919"/>
    <w:rsid w:val="00F61DC4"/>
    <w:rsid w:val="00F64E48"/>
    <w:rsid w:val="00F64ECA"/>
    <w:rsid w:val="00F670E1"/>
    <w:rsid w:val="00F67711"/>
    <w:rsid w:val="00F72774"/>
    <w:rsid w:val="00F72D2D"/>
    <w:rsid w:val="00F72D49"/>
    <w:rsid w:val="00F750C4"/>
    <w:rsid w:val="00F871A0"/>
    <w:rsid w:val="00FB3592"/>
    <w:rsid w:val="00FB5146"/>
    <w:rsid w:val="00FB68B5"/>
    <w:rsid w:val="00FD0742"/>
    <w:rsid w:val="00FD0D8B"/>
    <w:rsid w:val="00FD19CF"/>
    <w:rsid w:val="00FD2AB0"/>
    <w:rsid w:val="00FD2FC0"/>
    <w:rsid w:val="00FD3B8A"/>
    <w:rsid w:val="00FE0B2C"/>
    <w:rsid w:val="00FE44E4"/>
    <w:rsid w:val="00FE6B4B"/>
    <w:rsid w:val="00FE6E61"/>
    <w:rsid w:val="00FE77FB"/>
    <w:rsid w:val="00FF013E"/>
    <w:rsid w:val="01136B9D"/>
    <w:rsid w:val="011C049D"/>
    <w:rsid w:val="01201991"/>
    <w:rsid w:val="01601C3A"/>
    <w:rsid w:val="0171273D"/>
    <w:rsid w:val="017B7178"/>
    <w:rsid w:val="018266A6"/>
    <w:rsid w:val="018B1379"/>
    <w:rsid w:val="01931953"/>
    <w:rsid w:val="019E19FB"/>
    <w:rsid w:val="01A455E4"/>
    <w:rsid w:val="01B81309"/>
    <w:rsid w:val="01D4479A"/>
    <w:rsid w:val="01D45AA7"/>
    <w:rsid w:val="01FB6045"/>
    <w:rsid w:val="020C37F0"/>
    <w:rsid w:val="020F7B7E"/>
    <w:rsid w:val="022C3633"/>
    <w:rsid w:val="02304278"/>
    <w:rsid w:val="023B5387"/>
    <w:rsid w:val="023C75BD"/>
    <w:rsid w:val="02476A9A"/>
    <w:rsid w:val="02573594"/>
    <w:rsid w:val="026F7E80"/>
    <w:rsid w:val="02836EAB"/>
    <w:rsid w:val="02901866"/>
    <w:rsid w:val="02921237"/>
    <w:rsid w:val="029D72FF"/>
    <w:rsid w:val="029E00FC"/>
    <w:rsid w:val="02B164B9"/>
    <w:rsid w:val="02B57D67"/>
    <w:rsid w:val="02BA27D3"/>
    <w:rsid w:val="02BA468F"/>
    <w:rsid w:val="02BF4612"/>
    <w:rsid w:val="02C1463C"/>
    <w:rsid w:val="02C53FD1"/>
    <w:rsid w:val="02D44629"/>
    <w:rsid w:val="02D57093"/>
    <w:rsid w:val="02F37D28"/>
    <w:rsid w:val="02F456F2"/>
    <w:rsid w:val="02FE19A1"/>
    <w:rsid w:val="030651AA"/>
    <w:rsid w:val="03245CC3"/>
    <w:rsid w:val="033A440C"/>
    <w:rsid w:val="033A4F9A"/>
    <w:rsid w:val="034216AB"/>
    <w:rsid w:val="035314B8"/>
    <w:rsid w:val="03537BBF"/>
    <w:rsid w:val="0371483A"/>
    <w:rsid w:val="03761731"/>
    <w:rsid w:val="037749A9"/>
    <w:rsid w:val="03C34A79"/>
    <w:rsid w:val="03D57424"/>
    <w:rsid w:val="03DC511F"/>
    <w:rsid w:val="03F04CCF"/>
    <w:rsid w:val="03F9518A"/>
    <w:rsid w:val="04056458"/>
    <w:rsid w:val="040E1F5D"/>
    <w:rsid w:val="040F5508"/>
    <w:rsid w:val="0425054C"/>
    <w:rsid w:val="0428445E"/>
    <w:rsid w:val="04332ACE"/>
    <w:rsid w:val="04352622"/>
    <w:rsid w:val="044645D5"/>
    <w:rsid w:val="04474499"/>
    <w:rsid w:val="044F0706"/>
    <w:rsid w:val="04504180"/>
    <w:rsid w:val="04666764"/>
    <w:rsid w:val="04740D67"/>
    <w:rsid w:val="048670BE"/>
    <w:rsid w:val="04A3344E"/>
    <w:rsid w:val="04AC6FAF"/>
    <w:rsid w:val="04AD5B6B"/>
    <w:rsid w:val="04B545AB"/>
    <w:rsid w:val="04EF7957"/>
    <w:rsid w:val="04F8677D"/>
    <w:rsid w:val="04FC28E6"/>
    <w:rsid w:val="04FD4BE8"/>
    <w:rsid w:val="05090E27"/>
    <w:rsid w:val="052136C5"/>
    <w:rsid w:val="05330788"/>
    <w:rsid w:val="053F23CB"/>
    <w:rsid w:val="0550640C"/>
    <w:rsid w:val="055D2428"/>
    <w:rsid w:val="05687E2D"/>
    <w:rsid w:val="05762956"/>
    <w:rsid w:val="057E29C4"/>
    <w:rsid w:val="059248E4"/>
    <w:rsid w:val="05961CF2"/>
    <w:rsid w:val="0596344D"/>
    <w:rsid w:val="05B10832"/>
    <w:rsid w:val="05BF6257"/>
    <w:rsid w:val="05C719E1"/>
    <w:rsid w:val="05D676FE"/>
    <w:rsid w:val="05E07881"/>
    <w:rsid w:val="05E866DC"/>
    <w:rsid w:val="05EF17CF"/>
    <w:rsid w:val="05F3694C"/>
    <w:rsid w:val="05F90ABF"/>
    <w:rsid w:val="060B7F8C"/>
    <w:rsid w:val="060E4972"/>
    <w:rsid w:val="06160773"/>
    <w:rsid w:val="0617200B"/>
    <w:rsid w:val="061B799E"/>
    <w:rsid w:val="062328F1"/>
    <w:rsid w:val="06252FAA"/>
    <w:rsid w:val="062E0B33"/>
    <w:rsid w:val="06366A4D"/>
    <w:rsid w:val="06443B82"/>
    <w:rsid w:val="064928CD"/>
    <w:rsid w:val="06501006"/>
    <w:rsid w:val="06507CAA"/>
    <w:rsid w:val="06565ADF"/>
    <w:rsid w:val="06620C19"/>
    <w:rsid w:val="066822E5"/>
    <w:rsid w:val="066B674C"/>
    <w:rsid w:val="06715434"/>
    <w:rsid w:val="0679732A"/>
    <w:rsid w:val="067A6EAB"/>
    <w:rsid w:val="067B36C0"/>
    <w:rsid w:val="06807F27"/>
    <w:rsid w:val="06814FC6"/>
    <w:rsid w:val="068231DE"/>
    <w:rsid w:val="06934DB2"/>
    <w:rsid w:val="069440C2"/>
    <w:rsid w:val="069F56F5"/>
    <w:rsid w:val="06A46D3E"/>
    <w:rsid w:val="06A871DF"/>
    <w:rsid w:val="06B43F71"/>
    <w:rsid w:val="06BC3F3F"/>
    <w:rsid w:val="06DD017F"/>
    <w:rsid w:val="06E42102"/>
    <w:rsid w:val="06FB4E04"/>
    <w:rsid w:val="06FD1A84"/>
    <w:rsid w:val="06FE473F"/>
    <w:rsid w:val="07035FD6"/>
    <w:rsid w:val="0707503C"/>
    <w:rsid w:val="0721046F"/>
    <w:rsid w:val="07210BE2"/>
    <w:rsid w:val="07287EF4"/>
    <w:rsid w:val="073038C0"/>
    <w:rsid w:val="07455C67"/>
    <w:rsid w:val="07522C39"/>
    <w:rsid w:val="07531690"/>
    <w:rsid w:val="075605E7"/>
    <w:rsid w:val="0758505A"/>
    <w:rsid w:val="075D3EAA"/>
    <w:rsid w:val="07884B14"/>
    <w:rsid w:val="078A41D9"/>
    <w:rsid w:val="078E22C9"/>
    <w:rsid w:val="07A50A9E"/>
    <w:rsid w:val="07A74C37"/>
    <w:rsid w:val="07BB4051"/>
    <w:rsid w:val="07BD70D6"/>
    <w:rsid w:val="07C8311C"/>
    <w:rsid w:val="07C97FDB"/>
    <w:rsid w:val="07D2405E"/>
    <w:rsid w:val="07E108C9"/>
    <w:rsid w:val="07E82E8C"/>
    <w:rsid w:val="07F94563"/>
    <w:rsid w:val="08250316"/>
    <w:rsid w:val="08284509"/>
    <w:rsid w:val="083806A8"/>
    <w:rsid w:val="083C0502"/>
    <w:rsid w:val="08414C84"/>
    <w:rsid w:val="0849622F"/>
    <w:rsid w:val="085439ED"/>
    <w:rsid w:val="08597DA5"/>
    <w:rsid w:val="086316A1"/>
    <w:rsid w:val="08761C81"/>
    <w:rsid w:val="08762705"/>
    <w:rsid w:val="087C6344"/>
    <w:rsid w:val="087E0FCE"/>
    <w:rsid w:val="08854364"/>
    <w:rsid w:val="08892FAD"/>
    <w:rsid w:val="08921BFB"/>
    <w:rsid w:val="089F1C5C"/>
    <w:rsid w:val="089F253C"/>
    <w:rsid w:val="08A3345D"/>
    <w:rsid w:val="08A73627"/>
    <w:rsid w:val="08A9756E"/>
    <w:rsid w:val="08AA0960"/>
    <w:rsid w:val="08B11D63"/>
    <w:rsid w:val="08BB0205"/>
    <w:rsid w:val="08C35210"/>
    <w:rsid w:val="08C5634A"/>
    <w:rsid w:val="08E02D7F"/>
    <w:rsid w:val="08E74D9E"/>
    <w:rsid w:val="08F726B4"/>
    <w:rsid w:val="0906245A"/>
    <w:rsid w:val="09097624"/>
    <w:rsid w:val="091C32AD"/>
    <w:rsid w:val="091C5E2A"/>
    <w:rsid w:val="092C7D36"/>
    <w:rsid w:val="093733E6"/>
    <w:rsid w:val="0949359E"/>
    <w:rsid w:val="094F56EC"/>
    <w:rsid w:val="095416EA"/>
    <w:rsid w:val="09577821"/>
    <w:rsid w:val="095B3A1C"/>
    <w:rsid w:val="095C3D8C"/>
    <w:rsid w:val="097C07B3"/>
    <w:rsid w:val="09855BAC"/>
    <w:rsid w:val="09935A32"/>
    <w:rsid w:val="09944AFD"/>
    <w:rsid w:val="099A2068"/>
    <w:rsid w:val="09B95DE7"/>
    <w:rsid w:val="09C07982"/>
    <w:rsid w:val="09CB445D"/>
    <w:rsid w:val="09CF2807"/>
    <w:rsid w:val="09F2400E"/>
    <w:rsid w:val="09F65A15"/>
    <w:rsid w:val="09F81994"/>
    <w:rsid w:val="0A382BE4"/>
    <w:rsid w:val="0A470F76"/>
    <w:rsid w:val="0A48315E"/>
    <w:rsid w:val="0A4D730A"/>
    <w:rsid w:val="0A555998"/>
    <w:rsid w:val="0A5E6BB3"/>
    <w:rsid w:val="0A5F3957"/>
    <w:rsid w:val="0A620F90"/>
    <w:rsid w:val="0A6635FF"/>
    <w:rsid w:val="0A7053DC"/>
    <w:rsid w:val="0A75190A"/>
    <w:rsid w:val="0A9462DE"/>
    <w:rsid w:val="0A9A25E8"/>
    <w:rsid w:val="0A9A30D0"/>
    <w:rsid w:val="0A9C2FAB"/>
    <w:rsid w:val="0AA03E80"/>
    <w:rsid w:val="0AA40835"/>
    <w:rsid w:val="0AA650B8"/>
    <w:rsid w:val="0ABB1BF0"/>
    <w:rsid w:val="0ACB046A"/>
    <w:rsid w:val="0AD72B20"/>
    <w:rsid w:val="0AD76D9C"/>
    <w:rsid w:val="0ADB154D"/>
    <w:rsid w:val="0ADC1626"/>
    <w:rsid w:val="0AE33658"/>
    <w:rsid w:val="0AE57876"/>
    <w:rsid w:val="0B0624C7"/>
    <w:rsid w:val="0B0C0B44"/>
    <w:rsid w:val="0B185258"/>
    <w:rsid w:val="0B1A49DF"/>
    <w:rsid w:val="0B317B67"/>
    <w:rsid w:val="0B377F83"/>
    <w:rsid w:val="0B3E2C01"/>
    <w:rsid w:val="0B3F434C"/>
    <w:rsid w:val="0B717DB6"/>
    <w:rsid w:val="0B736297"/>
    <w:rsid w:val="0B841A8A"/>
    <w:rsid w:val="0B8A4D31"/>
    <w:rsid w:val="0B9866A0"/>
    <w:rsid w:val="0B9C390A"/>
    <w:rsid w:val="0BA63058"/>
    <w:rsid w:val="0BB02F17"/>
    <w:rsid w:val="0BB36002"/>
    <w:rsid w:val="0BBE64A1"/>
    <w:rsid w:val="0BBF6FE4"/>
    <w:rsid w:val="0BC06E1B"/>
    <w:rsid w:val="0BD4717D"/>
    <w:rsid w:val="0BE12A98"/>
    <w:rsid w:val="0C0C7EE3"/>
    <w:rsid w:val="0C181143"/>
    <w:rsid w:val="0C242682"/>
    <w:rsid w:val="0C24610E"/>
    <w:rsid w:val="0C3C3FFF"/>
    <w:rsid w:val="0C4C20FB"/>
    <w:rsid w:val="0C4F512F"/>
    <w:rsid w:val="0C5E2244"/>
    <w:rsid w:val="0C6C6C6F"/>
    <w:rsid w:val="0C7104AC"/>
    <w:rsid w:val="0C7156BE"/>
    <w:rsid w:val="0C896381"/>
    <w:rsid w:val="0C976F11"/>
    <w:rsid w:val="0CA1678F"/>
    <w:rsid w:val="0CA87E6A"/>
    <w:rsid w:val="0CAB737E"/>
    <w:rsid w:val="0CB10577"/>
    <w:rsid w:val="0CC25C43"/>
    <w:rsid w:val="0CC413A8"/>
    <w:rsid w:val="0CCA2DD4"/>
    <w:rsid w:val="0CCC678E"/>
    <w:rsid w:val="0CD16824"/>
    <w:rsid w:val="0CD65AFB"/>
    <w:rsid w:val="0CE122F2"/>
    <w:rsid w:val="0CE4727F"/>
    <w:rsid w:val="0CE6530B"/>
    <w:rsid w:val="0CE866E8"/>
    <w:rsid w:val="0CF26A41"/>
    <w:rsid w:val="0CFD7954"/>
    <w:rsid w:val="0D0E5ED3"/>
    <w:rsid w:val="0D175471"/>
    <w:rsid w:val="0D1B7E4B"/>
    <w:rsid w:val="0D223914"/>
    <w:rsid w:val="0D2C3D66"/>
    <w:rsid w:val="0D3C2D4E"/>
    <w:rsid w:val="0D486147"/>
    <w:rsid w:val="0D4B4E12"/>
    <w:rsid w:val="0D51628C"/>
    <w:rsid w:val="0D554295"/>
    <w:rsid w:val="0D761E1D"/>
    <w:rsid w:val="0D781844"/>
    <w:rsid w:val="0D80443A"/>
    <w:rsid w:val="0D891769"/>
    <w:rsid w:val="0D986253"/>
    <w:rsid w:val="0D994044"/>
    <w:rsid w:val="0DBA5CA6"/>
    <w:rsid w:val="0DC35E69"/>
    <w:rsid w:val="0DC6608E"/>
    <w:rsid w:val="0DD218A0"/>
    <w:rsid w:val="0DDD5A57"/>
    <w:rsid w:val="0DF11E64"/>
    <w:rsid w:val="0DF753AD"/>
    <w:rsid w:val="0DFE567C"/>
    <w:rsid w:val="0E0577F1"/>
    <w:rsid w:val="0E0A1FBE"/>
    <w:rsid w:val="0E0D43DF"/>
    <w:rsid w:val="0E1B55F9"/>
    <w:rsid w:val="0E234AE7"/>
    <w:rsid w:val="0E254591"/>
    <w:rsid w:val="0E406275"/>
    <w:rsid w:val="0E4218A1"/>
    <w:rsid w:val="0E4779DC"/>
    <w:rsid w:val="0E4F575A"/>
    <w:rsid w:val="0E555EC3"/>
    <w:rsid w:val="0E6A4374"/>
    <w:rsid w:val="0E770DED"/>
    <w:rsid w:val="0E82611D"/>
    <w:rsid w:val="0E834452"/>
    <w:rsid w:val="0E9F4936"/>
    <w:rsid w:val="0EA83F18"/>
    <w:rsid w:val="0EAC2F6B"/>
    <w:rsid w:val="0EB37B57"/>
    <w:rsid w:val="0EB565DE"/>
    <w:rsid w:val="0EB578AF"/>
    <w:rsid w:val="0EC13DF5"/>
    <w:rsid w:val="0EC35CF6"/>
    <w:rsid w:val="0ECE4619"/>
    <w:rsid w:val="0ECF375F"/>
    <w:rsid w:val="0EE717B8"/>
    <w:rsid w:val="0EEC4B14"/>
    <w:rsid w:val="0EF85389"/>
    <w:rsid w:val="0F224373"/>
    <w:rsid w:val="0F2744FA"/>
    <w:rsid w:val="0F286E12"/>
    <w:rsid w:val="0F4F55CF"/>
    <w:rsid w:val="0F544EA1"/>
    <w:rsid w:val="0F5F5AED"/>
    <w:rsid w:val="0F630919"/>
    <w:rsid w:val="0F645977"/>
    <w:rsid w:val="0F655435"/>
    <w:rsid w:val="0F872136"/>
    <w:rsid w:val="0F876707"/>
    <w:rsid w:val="0F884344"/>
    <w:rsid w:val="0F9F7A48"/>
    <w:rsid w:val="0FA1544D"/>
    <w:rsid w:val="0FA55385"/>
    <w:rsid w:val="0FB3234A"/>
    <w:rsid w:val="0FB60787"/>
    <w:rsid w:val="0FBA1765"/>
    <w:rsid w:val="0FC03064"/>
    <w:rsid w:val="0FC37DCD"/>
    <w:rsid w:val="0FE36F06"/>
    <w:rsid w:val="0FED39E9"/>
    <w:rsid w:val="0FFE0633"/>
    <w:rsid w:val="10180982"/>
    <w:rsid w:val="1019197E"/>
    <w:rsid w:val="104A284E"/>
    <w:rsid w:val="1089213F"/>
    <w:rsid w:val="109F18CE"/>
    <w:rsid w:val="10B81501"/>
    <w:rsid w:val="10D162FE"/>
    <w:rsid w:val="10D9227F"/>
    <w:rsid w:val="10F74BFF"/>
    <w:rsid w:val="10FA2643"/>
    <w:rsid w:val="10FD4801"/>
    <w:rsid w:val="10FE48C5"/>
    <w:rsid w:val="11053640"/>
    <w:rsid w:val="110D10BC"/>
    <w:rsid w:val="110E435F"/>
    <w:rsid w:val="111426AA"/>
    <w:rsid w:val="11161ABE"/>
    <w:rsid w:val="111B62FD"/>
    <w:rsid w:val="111C1A14"/>
    <w:rsid w:val="11791182"/>
    <w:rsid w:val="11856B5C"/>
    <w:rsid w:val="119046C7"/>
    <w:rsid w:val="11A16F9A"/>
    <w:rsid w:val="11A72B74"/>
    <w:rsid w:val="11AE533C"/>
    <w:rsid w:val="11AF2CC5"/>
    <w:rsid w:val="11C05AD2"/>
    <w:rsid w:val="11D30C04"/>
    <w:rsid w:val="11D44386"/>
    <w:rsid w:val="11DB0CDA"/>
    <w:rsid w:val="11ED068D"/>
    <w:rsid w:val="12051AFF"/>
    <w:rsid w:val="121D230D"/>
    <w:rsid w:val="122800BA"/>
    <w:rsid w:val="12365A46"/>
    <w:rsid w:val="125B36A2"/>
    <w:rsid w:val="125F0DB1"/>
    <w:rsid w:val="12643CC3"/>
    <w:rsid w:val="12715409"/>
    <w:rsid w:val="12781C73"/>
    <w:rsid w:val="12817726"/>
    <w:rsid w:val="128563D5"/>
    <w:rsid w:val="12945A1D"/>
    <w:rsid w:val="12AA771F"/>
    <w:rsid w:val="12B43278"/>
    <w:rsid w:val="12B8750E"/>
    <w:rsid w:val="12BC3D77"/>
    <w:rsid w:val="12BD505F"/>
    <w:rsid w:val="12BE7449"/>
    <w:rsid w:val="12D070FC"/>
    <w:rsid w:val="12D375B7"/>
    <w:rsid w:val="12D8066A"/>
    <w:rsid w:val="12DB1820"/>
    <w:rsid w:val="12E25B73"/>
    <w:rsid w:val="12FA3301"/>
    <w:rsid w:val="12FB3427"/>
    <w:rsid w:val="130059ED"/>
    <w:rsid w:val="13016044"/>
    <w:rsid w:val="130B4E1E"/>
    <w:rsid w:val="130E3B87"/>
    <w:rsid w:val="130F4807"/>
    <w:rsid w:val="13134B85"/>
    <w:rsid w:val="13147E0F"/>
    <w:rsid w:val="13155EA5"/>
    <w:rsid w:val="1316566E"/>
    <w:rsid w:val="132A5F24"/>
    <w:rsid w:val="132C7459"/>
    <w:rsid w:val="133338B6"/>
    <w:rsid w:val="13390418"/>
    <w:rsid w:val="134A70F2"/>
    <w:rsid w:val="13595D8D"/>
    <w:rsid w:val="13865A64"/>
    <w:rsid w:val="13A96B0E"/>
    <w:rsid w:val="13AB6767"/>
    <w:rsid w:val="13B628E7"/>
    <w:rsid w:val="13B9013C"/>
    <w:rsid w:val="13CB1A39"/>
    <w:rsid w:val="13DB2E2A"/>
    <w:rsid w:val="13E0340E"/>
    <w:rsid w:val="13E53341"/>
    <w:rsid w:val="13E66D5F"/>
    <w:rsid w:val="13F46D4C"/>
    <w:rsid w:val="13F70BEF"/>
    <w:rsid w:val="13FA243C"/>
    <w:rsid w:val="14312648"/>
    <w:rsid w:val="143533E4"/>
    <w:rsid w:val="143A3A7D"/>
    <w:rsid w:val="143D292E"/>
    <w:rsid w:val="144112AA"/>
    <w:rsid w:val="144C1499"/>
    <w:rsid w:val="144E729C"/>
    <w:rsid w:val="14517D7D"/>
    <w:rsid w:val="14615D57"/>
    <w:rsid w:val="14620A5E"/>
    <w:rsid w:val="146540CB"/>
    <w:rsid w:val="14696D87"/>
    <w:rsid w:val="146A1B10"/>
    <w:rsid w:val="146D7E0B"/>
    <w:rsid w:val="14874CFB"/>
    <w:rsid w:val="1493726B"/>
    <w:rsid w:val="14952165"/>
    <w:rsid w:val="14A81226"/>
    <w:rsid w:val="14BA01B2"/>
    <w:rsid w:val="14BE39EE"/>
    <w:rsid w:val="14C0237C"/>
    <w:rsid w:val="14C80EBC"/>
    <w:rsid w:val="14CC42A0"/>
    <w:rsid w:val="14CE0829"/>
    <w:rsid w:val="14D6764D"/>
    <w:rsid w:val="14D9393A"/>
    <w:rsid w:val="14EE1C7E"/>
    <w:rsid w:val="14FE317B"/>
    <w:rsid w:val="15046951"/>
    <w:rsid w:val="150D6A17"/>
    <w:rsid w:val="151E69A9"/>
    <w:rsid w:val="152363F8"/>
    <w:rsid w:val="15260BD7"/>
    <w:rsid w:val="152B51C2"/>
    <w:rsid w:val="15337E7D"/>
    <w:rsid w:val="1544421B"/>
    <w:rsid w:val="157756E5"/>
    <w:rsid w:val="159416AC"/>
    <w:rsid w:val="159D72CB"/>
    <w:rsid w:val="159E0493"/>
    <w:rsid w:val="15A81E9C"/>
    <w:rsid w:val="15B76ECE"/>
    <w:rsid w:val="15C77CE0"/>
    <w:rsid w:val="15DC3A19"/>
    <w:rsid w:val="15F73B80"/>
    <w:rsid w:val="15FF4762"/>
    <w:rsid w:val="160030EC"/>
    <w:rsid w:val="16012E9E"/>
    <w:rsid w:val="16093210"/>
    <w:rsid w:val="162023FC"/>
    <w:rsid w:val="1620387A"/>
    <w:rsid w:val="162409D9"/>
    <w:rsid w:val="163748E7"/>
    <w:rsid w:val="16392C94"/>
    <w:rsid w:val="163972B0"/>
    <w:rsid w:val="16417015"/>
    <w:rsid w:val="16444A88"/>
    <w:rsid w:val="16450EB9"/>
    <w:rsid w:val="164D6E7B"/>
    <w:rsid w:val="16583804"/>
    <w:rsid w:val="16724694"/>
    <w:rsid w:val="16807893"/>
    <w:rsid w:val="16831EA9"/>
    <w:rsid w:val="168E4276"/>
    <w:rsid w:val="169F75E7"/>
    <w:rsid w:val="16A03E45"/>
    <w:rsid w:val="16AD0C7E"/>
    <w:rsid w:val="16B17451"/>
    <w:rsid w:val="16D61EA8"/>
    <w:rsid w:val="16DB088E"/>
    <w:rsid w:val="16F8366E"/>
    <w:rsid w:val="170C130F"/>
    <w:rsid w:val="17122B75"/>
    <w:rsid w:val="1727349B"/>
    <w:rsid w:val="172C535C"/>
    <w:rsid w:val="17395A47"/>
    <w:rsid w:val="176725A6"/>
    <w:rsid w:val="177546B3"/>
    <w:rsid w:val="177A3ACE"/>
    <w:rsid w:val="17817315"/>
    <w:rsid w:val="179313EF"/>
    <w:rsid w:val="179F7B9F"/>
    <w:rsid w:val="17B506B8"/>
    <w:rsid w:val="17CD0021"/>
    <w:rsid w:val="17CE7FDF"/>
    <w:rsid w:val="17DF26E8"/>
    <w:rsid w:val="17EA6D6B"/>
    <w:rsid w:val="17EC04E0"/>
    <w:rsid w:val="17F55ED6"/>
    <w:rsid w:val="18044CE9"/>
    <w:rsid w:val="18055854"/>
    <w:rsid w:val="18127D79"/>
    <w:rsid w:val="18174CDE"/>
    <w:rsid w:val="1825332E"/>
    <w:rsid w:val="182D18AE"/>
    <w:rsid w:val="183A4B3F"/>
    <w:rsid w:val="183E38CB"/>
    <w:rsid w:val="1846599D"/>
    <w:rsid w:val="184F3879"/>
    <w:rsid w:val="18641F19"/>
    <w:rsid w:val="18772784"/>
    <w:rsid w:val="188E6D21"/>
    <w:rsid w:val="18963D83"/>
    <w:rsid w:val="18981B94"/>
    <w:rsid w:val="189B5B36"/>
    <w:rsid w:val="18B4429A"/>
    <w:rsid w:val="18BD34C4"/>
    <w:rsid w:val="18BE3274"/>
    <w:rsid w:val="18BF424B"/>
    <w:rsid w:val="18C037BD"/>
    <w:rsid w:val="18CF2BC2"/>
    <w:rsid w:val="18DF783C"/>
    <w:rsid w:val="18E5190D"/>
    <w:rsid w:val="18E6539E"/>
    <w:rsid w:val="18EA757F"/>
    <w:rsid w:val="18EB5087"/>
    <w:rsid w:val="18FB6367"/>
    <w:rsid w:val="191410B9"/>
    <w:rsid w:val="19265A82"/>
    <w:rsid w:val="19311C12"/>
    <w:rsid w:val="19473BCA"/>
    <w:rsid w:val="195060D0"/>
    <w:rsid w:val="19516536"/>
    <w:rsid w:val="195277D2"/>
    <w:rsid w:val="1953797A"/>
    <w:rsid w:val="195C28F6"/>
    <w:rsid w:val="195F0506"/>
    <w:rsid w:val="1966529F"/>
    <w:rsid w:val="196C0B36"/>
    <w:rsid w:val="1976237B"/>
    <w:rsid w:val="197E1A9F"/>
    <w:rsid w:val="1981099C"/>
    <w:rsid w:val="198A7293"/>
    <w:rsid w:val="199548BF"/>
    <w:rsid w:val="19A277FE"/>
    <w:rsid w:val="19A5474A"/>
    <w:rsid w:val="19A90C02"/>
    <w:rsid w:val="19AD2045"/>
    <w:rsid w:val="19AD458A"/>
    <w:rsid w:val="19B73174"/>
    <w:rsid w:val="19BE3F0C"/>
    <w:rsid w:val="19BE5CBA"/>
    <w:rsid w:val="19F22897"/>
    <w:rsid w:val="19FB7217"/>
    <w:rsid w:val="19FD77CD"/>
    <w:rsid w:val="1A0E533A"/>
    <w:rsid w:val="1A102A17"/>
    <w:rsid w:val="1A1628F9"/>
    <w:rsid w:val="1A274860"/>
    <w:rsid w:val="1A3C519A"/>
    <w:rsid w:val="1A405F82"/>
    <w:rsid w:val="1A423F37"/>
    <w:rsid w:val="1A64717D"/>
    <w:rsid w:val="1A71260F"/>
    <w:rsid w:val="1A813A1C"/>
    <w:rsid w:val="1A833338"/>
    <w:rsid w:val="1A907C64"/>
    <w:rsid w:val="1A9133CF"/>
    <w:rsid w:val="1A9E336C"/>
    <w:rsid w:val="1ABD46A3"/>
    <w:rsid w:val="1AD47CAF"/>
    <w:rsid w:val="1AD616BD"/>
    <w:rsid w:val="1AD86F59"/>
    <w:rsid w:val="1AF93E34"/>
    <w:rsid w:val="1B1234C6"/>
    <w:rsid w:val="1B186CD0"/>
    <w:rsid w:val="1B1E5829"/>
    <w:rsid w:val="1B2E0ED4"/>
    <w:rsid w:val="1B354584"/>
    <w:rsid w:val="1B453032"/>
    <w:rsid w:val="1B463D76"/>
    <w:rsid w:val="1B552B29"/>
    <w:rsid w:val="1B5B0DE7"/>
    <w:rsid w:val="1B6E0A5A"/>
    <w:rsid w:val="1B78786C"/>
    <w:rsid w:val="1B8726C8"/>
    <w:rsid w:val="1B87743D"/>
    <w:rsid w:val="1B9413C8"/>
    <w:rsid w:val="1B955C9C"/>
    <w:rsid w:val="1B9758B6"/>
    <w:rsid w:val="1BA40AE4"/>
    <w:rsid w:val="1BA607D0"/>
    <w:rsid w:val="1BB47C82"/>
    <w:rsid w:val="1BB95F2F"/>
    <w:rsid w:val="1BBB6D82"/>
    <w:rsid w:val="1BDD11B0"/>
    <w:rsid w:val="1BE0009E"/>
    <w:rsid w:val="1C3A13F2"/>
    <w:rsid w:val="1C3C2BE6"/>
    <w:rsid w:val="1C424981"/>
    <w:rsid w:val="1C560684"/>
    <w:rsid w:val="1C597488"/>
    <w:rsid w:val="1C607C67"/>
    <w:rsid w:val="1C6A292D"/>
    <w:rsid w:val="1C6B70D4"/>
    <w:rsid w:val="1C734DB7"/>
    <w:rsid w:val="1C781801"/>
    <w:rsid w:val="1C8B7F01"/>
    <w:rsid w:val="1C9D3204"/>
    <w:rsid w:val="1C9F1B1E"/>
    <w:rsid w:val="1CA375B5"/>
    <w:rsid w:val="1CAC7ED4"/>
    <w:rsid w:val="1CCB3FE2"/>
    <w:rsid w:val="1CD82F51"/>
    <w:rsid w:val="1CDF601B"/>
    <w:rsid w:val="1CE15162"/>
    <w:rsid w:val="1CE23F9F"/>
    <w:rsid w:val="1CEF5ABC"/>
    <w:rsid w:val="1CF3236E"/>
    <w:rsid w:val="1CF35AB8"/>
    <w:rsid w:val="1CF36F4F"/>
    <w:rsid w:val="1D0A3CBC"/>
    <w:rsid w:val="1D0F6BBD"/>
    <w:rsid w:val="1D176E66"/>
    <w:rsid w:val="1D2073EA"/>
    <w:rsid w:val="1D316FFF"/>
    <w:rsid w:val="1D394E22"/>
    <w:rsid w:val="1D3A008B"/>
    <w:rsid w:val="1D3F0500"/>
    <w:rsid w:val="1D4D4575"/>
    <w:rsid w:val="1D5332D0"/>
    <w:rsid w:val="1D5567DC"/>
    <w:rsid w:val="1D57067B"/>
    <w:rsid w:val="1D585B61"/>
    <w:rsid w:val="1D6435E9"/>
    <w:rsid w:val="1D677E66"/>
    <w:rsid w:val="1D6A27B1"/>
    <w:rsid w:val="1D70683C"/>
    <w:rsid w:val="1D821EDC"/>
    <w:rsid w:val="1D8259F5"/>
    <w:rsid w:val="1D876788"/>
    <w:rsid w:val="1D8D4B07"/>
    <w:rsid w:val="1D9D6A6C"/>
    <w:rsid w:val="1DA24DF1"/>
    <w:rsid w:val="1DA30C3E"/>
    <w:rsid w:val="1DD06F03"/>
    <w:rsid w:val="1DD33ABD"/>
    <w:rsid w:val="1DDB39F3"/>
    <w:rsid w:val="1DDB4B06"/>
    <w:rsid w:val="1DEF498B"/>
    <w:rsid w:val="1DF0276A"/>
    <w:rsid w:val="1E023C37"/>
    <w:rsid w:val="1E056505"/>
    <w:rsid w:val="1E0E0FFF"/>
    <w:rsid w:val="1E1F2C04"/>
    <w:rsid w:val="1E2307E2"/>
    <w:rsid w:val="1E241338"/>
    <w:rsid w:val="1E2F599B"/>
    <w:rsid w:val="1E344F61"/>
    <w:rsid w:val="1E360AE8"/>
    <w:rsid w:val="1E3E4447"/>
    <w:rsid w:val="1E445F8D"/>
    <w:rsid w:val="1E491139"/>
    <w:rsid w:val="1E5E1D0F"/>
    <w:rsid w:val="1E5F0A73"/>
    <w:rsid w:val="1E617067"/>
    <w:rsid w:val="1E6230B8"/>
    <w:rsid w:val="1E692EA0"/>
    <w:rsid w:val="1E6A57DC"/>
    <w:rsid w:val="1E6D602F"/>
    <w:rsid w:val="1E7D6AAC"/>
    <w:rsid w:val="1E7E1E5D"/>
    <w:rsid w:val="1EBC18FF"/>
    <w:rsid w:val="1EBD00C9"/>
    <w:rsid w:val="1EC636E6"/>
    <w:rsid w:val="1EC64C53"/>
    <w:rsid w:val="1ECB4F0A"/>
    <w:rsid w:val="1ED21984"/>
    <w:rsid w:val="1EEC483B"/>
    <w:rsid w:val="1EEF7EF2"/>
    <w:rsid w:val="1EF06042"/>
    <w:rsid w:val="1EF806BC"/>
    <w:rsid w:val="1EFE1528"/>
    <w:rsid w:val="1F03260D"/>
    <w:rsid w:val="1F232ECF"/>
    <w:rsid w:val="1F392784"/>
    <w:rsid w:val="1F3B0F36"/>
    <w:rsid w:val="1F4601B3"/>
    <w:rsid w:val="1F4B0357"/>
    <w:rsid w:val="1F501A2F"/>
    <w:rsid w:val="1F5C56C8"/>
    <w:rsid w:val="1F626D29"/>
    <w:rsid w:val="1F771AAF"/>
    <w:rsid w:val="1FA905CC"/>
    <w:rsid w:val="1FAD216F"/>
    <w:rsid w:val="1FB658DB"/>
    <w:rsid w:val="1FB80C30"/>
    <w:rsid w:val="1FBA182B"/>
    <w:rsid w:val="1FC5536D"/>
    <w:rsid w:val="1FD00250"/>
    <w:rsid w:val="1FE15680"/>
    <w:rsid w:val="1FEB0F2B"/>
    <w:rsid w:val="1FFE06DD"/>
    <w:rsid w:val="1FFE2752"/>
    <w:rsid w:val="1FFF65E9"/>
    <w:rsid w:val="20020FF7"/>
    <w:rsid w:val="200309D4"/>
    <w:rsid w:val="20053A04"/>
    <w:rsid w:val="20073632"/>
    <w:rsid w:val="20105D60"/>
    <w:rsid w:val="2013507C"/>
    <w:rsid w:val="201969DA"/>
    <w:rsid w:val="20253710"/>
    <w:rsid w:val="20275480"/>
    <w:rsid w:val="203242D1"/>
    <w:rsid w:val="205806C7"/>
    <w:rsid w:val="205A1067"/>
    <w:rsid w:val="205D05BC"/>
    <w:rsid w:val="205F0ADF"/>
    <w:rsid w:val="206A4ABC"/>
    <w:rsid w:val="20863CA5"/>
    <w:rsid w:val="209024BE"/>
    <w:rsid w:val="209808F8"/>
    <w:rsid w:val="20A47BCA"/>
    <w:rsid w:val="20AC4BEB"/>
    <w:rsid w:val="20B56436"/>
    <w:rsid w:val="20C149A5"/>
    <w:rsid w:val="20C4102A"/>
    <w:rsid w:val="20C5784B"/>
    <w:rsid w:val="20D7049E"/>
    <w:rsid w:val="20E741B7"/>
    <w:rsid w:val="20ED00F5"/>
    <w:rsid w:val="20EF33B9"/>
    <w:rsid w:val="210C3B27"/>
    <w:rsid w:val="210C3C81"/>
    <w:rsid w:val="21294141"/>
    <w:rsid w:val="21327566"/>
    <w:rsid w:val="213F3339"/>
    <w:rsid w:val="213F7E18"/>
    <w:rsid w:val="21452868"/>
    <w:rsid w:val="21486CFE"/>
    <w:rsid w:val="2149459F"/>
    <w:rsid w:val="21702929"/>
    <w:rsid w:val="218F15AB"/>
    <w:rsid w:val="219E43FB"/>
    <w:rsid w:val="21A72334"/>
    <w:rsid w:val="21AD7C87"/>
    <w:rsid w:val="21C37BF3"/>
    <w:rsid w:val="21C92228"/>
    <w:rsid w:val="21CB0749"/>
    <w:rsid w:val="21EB5ABA"/>
    <w:rsid w:val="21EF4C85"/>
    <w:rsid w:val="21F51FE9"/>
    <w:rsid w:val="21F621FA"/>
    <w:rsid w:val="21F8406F"/>
    <w:rsid w:val="22030B63"/>
    <w:rsid w:val="220635B1"/>
    <w:rsid w:val="2208107F"/>
    <w:rsid w:val="22100951"/>
    <w:rsid w:val="221036C6"/>
    <w:rsid w:val="22226A41"/>
    <w:rsid w:val="22384954"/>
    <w:rsid w:val="223B2868"/>
    <w:rsid w:val="223F10DC"/>
    <w:rsid w:val="223F42E5"/>
    <w:rsid w:val="224150C1"/>
    <w:rsid w:val="224B79B0"/>
    <w:rsid w:val="22660344"/>
    <w:rsid w:val="22671B05"/>
    <w:rsid w:val="2273608E"/>
    <w:rsid w:val="2287774F"/>
    <w:rsid w:val="228D792D"/>
    <w:rsid w:val="229B06A2"/>
    <w:rsid w:val="22AA1271"/>
    <w:rsid w:val="22AF4C91"/>
    <w:rsid w:val="22C2681B"/>
    <w:rsid w:val="22CC2FBE"/>
    <w:rsid w:val="22CD4910"/>
    <w:rsid w:val="22D129AB"/>
    <w:rsid w:val="22D15CEB"/>
    <w:rsid w:val="22DC7F11"/>
    <w:rsid w:val="22DE25D7"/>
    <w:rsid w:val="22E337AC"/>
    <w:rsid w:val="22E92046"/>
    <w:rsid w:val="22EC2322"/>
    <w:rsid w:val="22FE225A"/>
    <w:rsid w:val="23002236"/>
    <w:rsid w:val="23002345"/>
    <w:rsid w:val="230203D5"/>
    <w:rsid w:val="23093517"/>
    <w:rsid w:val="230C0665"/>
    <w:rsid w:val="23243A5D"/>
    <w:rsid w:val="23306D7A"/>
    <w:rsid w:val="23560134"/>
    <w:rsid w:val="2361102E"/>
    <w:rsid w:val="23625CBB"/>
    <w:rsid w:val="23771C98"/>
    <w:rsid w:val="23991E57"/>
    <w:rsid w:val="239D28A7"/>
    <w:rsid w:val="23C61D35"/>
    <w:rsid w:val="23D62985"/>
    <w:rsid w:val="23FF3AB2"/>
    <w:rsid w:val="24053FBC"/>
    <w:rsid w:val="24157EA5"/>
    <w:rsid w:val="241E657E"/>
    <w:rsid w:val="24247CAE"/>
    <w:rsid w:val="243862F6"/>
    <w:rsid w:val="24443F92"/>
    <w:rsid w:val="24446CA5"/>
    <w:rsid w:val="24485FB5"/>
    <w:rsid w:val="245C33D1"/>
    <w:rsid w:val="245E4C38"/>
    <w:rsid w:val="245F14F0"/>
    <w:rsid w:val="246F515C"/>
    <w:rsid w:val="247C0C88"/>
    <w:rsid w:val="24827CDC"/>
    <w:rsid w:val="248B404B"/>
    <w:rsid w:val="24A805DE"/>
    <w:rsid w:val="24A84BA2"/>
    <w:rsid w:val="24B464E7"/>
    <w:rsid w:val="24BA7A64"/>
    <w:rsid w:val="24C0187E"/>
    <w:rsid w:val="24C11B0A"/>
    <w:rsid w:val="24CE2BBD"/>
    <w:rsid w:val="24DA2D09"/>
    <w:rsid w:val="24F276CC"/>
    <w:rsid w:val="251D5543"/>
    <w:rsid w:val="25243EC5"/>
    <w:rsid w:val="252601A3"/>
    <w:rsid w:val="252E65BD"/>
    <w:rsid w:val="254244AF"/>
    <w:rsid w:val="254272F2"/>
    <w:rsid w:val="25565941"/>
    <w:rsid w:val="2557301C"/>
    <w:rsid w:val="255A00E8"/>
    <w:rsid w:val="255C2B04"/>
    <w:rsid w:val="255C71D0"/>
    <w:rsid w:val="2585306E"/>
    <w:rsid w:val="258809F1"/>
    <w:rsid w:val="25A825F6"/>
    <w:rsid w:val="25A91AFB"/>
    <w:rsid w:val="25BE422B"/>
    <w:rsid w:val="25C45948"/>
    <w:rsid w:val="25F51122"/>
    <w:rsid w:val="26035955"/>
    <w:rsid w:val="260550AF"/>
    <w:rsid w:val="261370F8"/>
    <w:rsid w:val="26200414"/>
    <w:rsid w:val="26272698"/>
    <w:rsid w:val="2635788D"/>
    <w:rsid w:val="263907AA"/>
    <w:rsid w:val="26460BC3"/>
    <w:rsid w:val="26533619"/>
    <w:rsid w:val="266064DF"/>
    <w:rsid w:val="268D42B5"/>
    <w:rsid w:val="268D6602"/>
    <w:rsid w:val="268F1E8B"/>
    <w:rsid w:val="269E0E8E"/>
    <w:rsid w:val="26A37BD2"/>
    <w:rsid w:val="26A62A73"/>
    <w:rsid w:val="26B21F66"/>
    <w:rsid w:val="26B32E22"/>
    <w:rsid w:val="26C23A2B"/>
    <w:rsid w:val="26DF7DC9"/>
    <w:rsid w:val="26F2785C"/>
    <w:rsid w:val="26F613B3"/>
    <w:rsid w:val="26FD2A27"/>
    <w:rsid w:val="27174D52"/>
    <w:rsid w:val="271D0867"/>
    <w:rsid w:val="272F1B1E"/>
    <w:rsid w:val="273349EC"/>
    <w:rsid w:val="27336325"/>
    <w:rsid w:val="274C2891"/>
    <w:rsid w:val="274C5549"/>
    <w:rsid w:val="27604E08"/>
    <w:rsid w:val="27736612"/>
    <w:rsid w:val="27902AAA"/>
    <w:rsid w:val="279D50CE"/>
    <w:rsid w:val="279F0232"/>
    <w:rsid w:val="279F40AD"/>
    <w:rsid w:val="27A23F7A"/>
    <w:rsid w:val="27A85E87"/>
    <w:rsid w:val="27A9584F"/>
    <w:rsid w:val="27B64655"/>
    <w:rsid w:val="27C5553C"/>
    <w:rsid w:val="27F14918"/>
    <w:rsid w:val="28101627"/>
    <w:rsid w:val="28315956"/>
    <w:rsid w:val="28355D82"/>
    <w:rsid w:val="284675F2"/>
    <w:rsid w:val="286464E9"/>
    <w:rsid w:val="2873001E"/>
    <w:rsid w:val="28740022"/>
    <w:rsid w:val="287C7F01"/>
    <w:rsid w:val="28811C68"/>
    <w:rsid w:val="288B2D14"/>
    <w:rsid w:val="288C432A"/>
    <w:rsid w:val="289309F5"/>
    <w:rsid w:val="28A25E4A"/>
    <w:rsid w:val="28A411E0"/>
    <w:rsid w:val="28AC6094"/>
    <w:rsid w:val="28C32CC8"/>
    <w:rsid w:val="28C82E19"/>
    <w:rsid w:val="28D03A6C"/>
    <w:rsid w:val="28ED236C"/>
    <w:rsid w:val="28ED745A"/>
    <w:rsid w:val="28F907EA"/>
    <w:rsid w:val="28F91B05"/>
    <w:rsid w:val="28FE0259"/>
    <w:rsid w:val="290060E4"/>
    <w:rsid w:val="29062BF3"/>
    <w:rsid w:val="29066985"/>
    <w:rsid w:val="291B0225"/>
    <w:rsid w:val="291B3E62"/>
    <w:rsid w:val="291D47D6"/>
    <w:rsid w:val="291E65D5"/>
    <w:rsid w:val="29202188"/>
    <w:rsid w:val="292C4971"/>
    <w:rsid w:val="2947413F"/>
    <w:rsid w:val="29637235"/>
    <w:rsid w:val="2965607C"/>
    <w:rsid w:val="297D29CF"/>
    <w:rsid w:val="299368FF"/>
    <w:rsid w:val="29976425"/>
    <w:rsid w:val="29987749"/>
    <w:rsid w:val="29AE4D33"/>
    <w:rsid w:val="29E77C97"/>
    <w:rsid w:val="29F24D4B"/>
    <w:rsid w:val="29F5056E"/>
    <w:rsid w:val="29F8476D"/>
    <w:rsid w:val="2A2B3809"/>
    <w:rsid w:val="2A2C269B"/>
    <w:rsid w:val="2A32072A"/>
    <w:rsid w:val="2A345DE6"/>
    <w:rsid w:val="2A380DAC"/>
    <w:rsid w:val="2A395581"/>
    <w:rsid w:val="2A471EA2"/>
    <w:rsid w:val="2A5314AA"/>
    <w:rsid w:val="2A5937A3"/>
    <w:rsid w:val="2A5949A1"/>
    <w:rsid w:val="2A5B63D3"/>
    <w:rsid w:val="2A5C6651"/>
    <w:rsid w:val="2A6638D1"/>
    <w:rsid w:val="2A6E7E21"/>
    <w:rsid w:val="2A703001"/>
    <w:rsid w:val="2A7B4894"/>
    <w:rsid w:val="2A856D92"/>
    <w:rsid w:val="2A863A98"/>
    <w:rsid w:val="2A8C68E4"/>
    <w:rsid w:val="2A9D2E79"/>
    <w:rsid w:val="2AA06B70"/>
    <w:rsid w:val="2AA54923"/>
    <w:rsid w:val="2AAC3C89"/>
    <w:rsid w:val="2AB259F2"/>
    <w:rsid w:val="2AB65654"/>
    <w:rsid w:val="2AC17DF5"/>
    <w:rsid w:val="2ACC0709"/>
    <w:rsid w:val="2ACD2102"/>
    <w:rsid w:val="2AEF1C8A"/>
    <w:rsid w:val="2AEF65BE"/>
    <w:rsid w:val="2AF132C5"/>
    <w:rsid w:val="2AF314AE"/>
    <w:rsid w:val="2AF96B80"/>
    <w:rsid w:val="2AFC03D8"/>
    <w:rsid w:val="2AFF1E1F"/>
    <w:rsid w:val="2B0611D2"/>
    <w:rsid w:val="2B065E3E"/>
    <w:rsid w:val="2B242240"/>
    <w:rsid w:val="2B2D0143"/>
    <w:rsid w:val="2B430BC3"/>
    <w:rsid w:val="2B4E0EB2"/>
    <w:rsid w:val="2B5B15BB"/>
    <w:rsid w:val="2B640CDD"/>
    <w:rsid w:val="2B6C64EA"/>
    <w:rsid w:val="2B6D4FAE"/>
    <w:rsid w:val="2B6E25C1"/>
    <w:rsid w:val="2B793644"/>
    <w:rsid w:val="2B7A6114"/>
    <w:rsid w:val="2B7F408E"/>
    <w:rsid w:val="2B957583"/>
    <w:rsid w:val="2BB1152D"/>
    <w:rsid w:val="2BBD0CDF"/>
    <w:rsid w:val="2BC226A9"/>
    <w:rsid w:val="2BDA01E8"/>
    <w:rsid w:val="2BE0452D"/>
    <w:rsid w:val="2BF23F6B"/>
    <w:rsid w:val="2C05296F"/>
    <w:rsid w:val="2C2801B0"/>
    <w:rsid w:val="2C2C1189"/>
    <w:rsid w:val="2C304224"/>
    <w:rsid w:val="2C42241A"/>
    <w:rsid w:val="2C510B30"/>
    <w:rsid w:val="2C5B3B90"/>
    <w:rsid w:val="2C6F47BA"/>
    <w:rsid w:val="2C70752A"/>
    <w:rsid w:val="2C981BD1"/>
    <w:rsid w:val="2CA77AA2"/>
    <w:rsid w:val="2CA9135E"/>
    <w:rsid w:val="2CC66591"/>
    <w:rsid w:val="2CD048BE"/>
    <w:rsid w:val="2CD872FD"/>
    <w:rsid w:val="2CDB2132"/>
    <w:rsid w:val="2CED416C"/>
    <w:rsid w:val="2CF61178"/>
    <w:rsid w:val="2CFB3025"/>
    <w:rsid w:val="2CFC55F8"/>
    <w:rsid w:val="2D036688"/>
    <w:rsid w:val="2D0879CF"/>
    <w:rsid w:val="2D1B0DF9"/>
    <w:rsid w:val="2D2104F8"/>
    <w:rsid w:val="2D213157"/>
    <w:rsid w:val="2D2A0AC1"/>
    <w:rsid w:val="2D2B1CCB"/>
    <w:rsid w:val="2D545910"/>
    <w:rsid w:val="2D555F50"/>
    <w:rsid w:val="2D8C1F00"/>
    <w:rsid w:val="2DA10490"/>
    <w:rsid w:val="2DA12F6F"/>
    <w:rsid w:val="2DE25856"/>
    <w:rsid w:val="2DE37F3B"/>
    <w:rsid w:val="2DE75AD8"/>
    <w:rsid w:val="2DF77CDD"/>
    <w:rsid w:val="2DFB52D7"/>
    <w:rsid w:val="2DFD37E3"/>
    <w:rsid w:val="2E143B94"/>
    <w:rsid w:val="2E184226"/>
    <w:rsid w:val="2E237CC3"/>
    <w:rsid w:val="2E2D678A"/>
    <w:rsid w:val="2E371ED6"/>
    <w:rsid w:val="2E381FE6"/>
    <w:rsid w:val="2E404274"/>
    <w:rsid w:val="2E623044"/>
    <w:rsid w:val="2E643BA3"/>
    <w:rsid w:val="2E690C63"/>
    <w:rsid w:val="2E6A06B7"/>
    <w:rsid w:val="2E8555D9"/>
    <w:rsid w:val="2E8B40FA"/>
    <w:rsid w:val="2EB4530D"/>
    <w:rsid w:val="2EC27BA3"/>
    <w:rsid w:val="2ECA5640"/>
    <w:rsid w:val="2ED009C0"/>
    <w:rsid w:val="2EF55F48"/>
    <w:rsid w:val="2F080EAC"/>
    <w:rsid w:val="2F0A0A9C"/>
    <w:rsid w:val="2F125049"/>
    <w:rsid w:val="2F1E302B"/>
    <w:rsid w:val="2F331A8A"/>
    <w:rsid w:val="2F3A2C00"/>
    <w:rsid w:val="2F4349B5"/>
    <w:rsid w:val="2F5271EF"/>
    <w:rsid w:val="2F6126A3"/>
    <w:rsid w:val="2F690CD5"/>
    <w:rsid w:val="2F6B174A"/>
    <w:rsid w:val="2F761F3F"/>
    <w:rsid w:val="2F7B492A"/>
    <w:rsid w:val="2F7C6F25"/>
    <w:rsid w:val="2F873DBC"/>
    <w:rsid w:val="2F90015C"/>
    <w:rsid w:val="2F900442"/>
    <w:rsid w:val="2F911176"/>
    <w:rsid w:val="2FA6439D"/>
    <w:rsid w:val="2FB5498F"/>
    <w:rsid w:val="2FBE480E"/>
    <w:rsid w:val="2FCB58CA"/>
    <w:rsid w:val="2FCE2912"/>
    <w:rsid w:val="2FD52893"/>
    <w:rsid w:val="2FDA2599"/>
    <w:rsid w:val="2FE14B6F"/>
    <w:rsid w:val="2FFF6E85"/>
    <w:rsid w:val="30146B38"/>
    <w:rsid w:val="301D7686"/>
    <w:rsid w:val="302A528B"/>
    <w:rsid w:val="302F4DC0"/>
    <w:rsid w:val="30365725"/>
    <w:rsid w:val="30372BFF"/>
    <w:rsid w:val="30474554"/>
    <w:rsid w:val="305901C8"/>
    <w:rsid w:val="30602B1A"/>
    <w:rsid w:val="306301A3"/>
    <w:rsid w:val="306C0EE6"/>
    <w:rsid w:val="3077572E"/>
    <w:rsid w:val="30806A80"/>
    <w:rsid w:val="308818AE"/>
    <w:rsid w:val="30884DB2"/>
    <w:rsid w:val="308F2A2D"/>
    <w:rsid w:val="309270AC"/>
    <w:rsid w:val="30B01B89"/>
    <w:rsid w:val="30B372D6"/>
    <w:rsid w:val="30C30374"/>
    <w:rsid w:val="30C36277"/>
    <w:rsid w:val="30D2076A"/>
    <w:rsid w:val="30D54DA4"/>
    <w:rsid w:val="30DB6B97"/>
    <w:rsid w:val="30E54203"/>
    <w:rsid w:val="30F73B6E"/>
    <w:rsid w:val="30FF70AD"/>
    <w:rsid w:val="31036B4C"/>
    <w:rsid w:val="31066ADF"/>
    <w:rsid w:val="31143174"/>
    <w:rsid w:val="312122C3"/>
    <w:rsid w:val="31336E2B"/>
    <w:rsid w:val="3135365F"/>
    <w:rsid w:val="313F1D38"/>
    <w:rsid w:val="3140284D"/>
    <w:rsid w:val="31425991"/>
    <w:rsid w:val="314E66FC"/>
    <w:rsid w:val="31500B84"/>
    <w:rsid w:val="3166400F"/>
    <w:rsid w:val="31690C55"/>
    <w:rsid w:val="316F2AB6"/>
    <w:rsid w:val="31722AAF"/>
    <w:rsid w:val="31727B09"/>
    <w:rsid w:val="317A12E0"/>
    <w:rsid w:val="31877B52"/>
    <w:rsid w:val="3189468A"/>
    <w:rsid w:val="318C5346"/>
    <w:rsid w:val="31925990"/>
    <w:rsid w:val="319A4F47"/>
    <w:rsid w:val="319D394D"/>
    <w:rsid w:val="31A30FDD"/>
    <w:rsid w:val="31BA7163"/>
    <w:rsid w:val="31BC0D8E"/>
    <w:rsid w:val="31CD7A77"/>
    <w:rsid w:val="31E94B62"/>
    <w:rsid w:val="31F531DC"/>
    <w:rsid w:val="31F81EA5"/>
    <w:rsid w:val="32065C08"/>
    <w:rsid w:val="320F7994"/>
    <w:rsid w:val="32204A88"/>
    <w:rsid w:val="32273DB7"/>
    <w:rsid w:val="322B56DB"/>
    <w:rsid w:val="322E1DB7"/>
    <w:rsid w:val="32311D93"/>
    <w:rsid w:val="323365F2"/>
    <w:rsid w:val="32703A7F"/>
    <w:rsid w:val="32780A79"/>
    <w:rsid w:val="328D31E1"/>
    <w:rsid w:val="32911BD3"/>
    <w:rsid w:val="32A24153"/>
    <w:rsid w:val="32B11583"/>
    <w:rsid w:val="32C93258"/>
    <w:rsid w:val="32E92720"/>
    <w:rsid w:val="32ED0693"/>
    <w:rsid w:val="32ED190E"/>
    <w:rsid w:val="32EE1CAE"/>
    <w:rsid w:val="32F85CF5"/>
    <w:rsid w:val="33007BB8"/>
    <w:rsid w:val="330506F3"/>
    <w:rsid w:val="331104A6"/>
    <w:rsid w:val="332F679A"/>
    <w:rsid w:val="333042A1"/>
    <w:rsid w:val="33474DCC"/>
    <w:rsid w:val="334C40DB"/>
    <w:rsid w:val="33555509"/>
    <w:rsid w:val="335A28A6"/>
    <w:rsid w:val="336D5240"/>
    <w:rsid w:val="338225B5"/>
    <w:rsid w:val="338660CE"/>
    <w:rsid w:val="33A77B60"/>
    <w:rsid w:val="33C93EE4"/>
    <w:rsid w:val="33D16BBD"/>
    <w:rsid w:val="33D30C84"/>
    <w:rsid w:val="33E913CB"/>
    <w:rsid w:val="33F80AD4"/>
    <w:rsid w:val="33F941A3"/>
    <w:rsid w:val="33FE03BD"/>
    <w:rsid w:val="340221EA"/>
    <w:rsid w:val="34082243"/>
    <w:rsid w:val="340D67F4"/>
    <w:rsid w:val="342F54B8"/>
    <w:rsid w:val="3433151C"/>
    <w:rsid w:val="343356B9"/>
    <w:rsid w:val="34377A92"/>
    <w:rsid w:val="344116AD"/>
    <w:rsid w:val="344C1188"/>
    <w:rsid w:val="3453438C"/>
    <w:rsid w:val="34583153"/>
    <w:rsid w:val="34594E8A"/>
    <w:rsid w:val="34793828"/>
    <w:rsid w:val="347A2085"/>
    <w:rsid w:val="347A4CCE"/>
    <w:rsid w:val="348B69E0"/>
    <w:rsid w:val="348B7802"/>
    <w:rsid w:val="349F62FC"/>
    <w:rsid w:val="34C30E3F"/>
    <w:rsid w:val="34C610BC"/>
    <w:rsid w:val="34CA6C2E"/>
    <w:rsid w:val="34CD1B46"/>
    <w:rsid w:val="34D00389"/>
    <w:rsid w:val="34D1318A"/>
    <w:rsid w:val="34DA61AC"/>
    <w:rsid w:val="34E170E2"/>
    <w:rsid w:val="34E63BDF"/>
    <w:rsid w:val="350009B7"/>
    <w:rsid w:val="35102373"/>
    <w:rsid w:val="35116EB9"/>
    <w:rsid w:val="351864AD"/>
    <w:rsid w:val="351D099B"/>
    <w:rsid w:val="35233F28"/>
    <w:rsid w:val="35311006"/>
    <w:rsid w:val="353A1D7D"/>
    <w:rsid w:val="35467D4B"/>
    <w:rsid w:val="35490B7D"/>
    <w:rsid w:val="354B6854"/>
    <w:rsid w:val="355D3C27"/>
    <w:rsid w:val="35606BC6"/>
    <w:rsid w:val="356911CF"/>
    <w:rsid w:val="356E3B89"/>
    <w:rsid w:val="35765D80"/>
    <w:rsid w:val="35786EEA"/>
    <w:rsid w:val="357D35AC"/>
    <w:rsid w:val="358C6AD3"/>
    <w:rsid w:val="359E5137"/>
    <w:rsid w:val="359F39EF"/>
    <w:rsid w:val="35A15854"/>
    <w:rsid w:val="35BD598A"/>
    <w:rsid w:val="35C15BC1"/>
    <w:rsid w:val="35CC1522"/>
    <w:rsid w:val="35D2113D"/>
    <w:rsid w:val="35D42696"/>
    <w:rsid w:val="35F80F4B"/>
    <w:rsid w:val="35FB06D9"/>
    <w:rsid w:val="35FD5EC6"/>
    <w:rsid w:val="36104916"/>
    <w:rsid w:val="361A0126"/>
    <w:rsid w:val="36261281"/>
    <w:rsid w:val="362A7C15"/>
    <w:rsid w:val="362A7D2C"/>
    <w:rsid w:val="362C30F1"/>
    <w:rsid w:val="363569BC"/>
    <w:rsid w:val="364A00CB"/>
    <w:rsid w:val="366E5E9B"/>
    <w:rsid w:val="36776B18"/>
    <w:rsid w:val="36777467"/>
    <w:rsid w:val="368572D6"/>
    <w:rsid w:val="368B7CD1"/>
    <w:rsid w:val="368E3763"/>
    <w:rsid w:val="369E4E9A"/>
    <w:rsid w:val="36A82D21"/>
    <w:rsid w:val="36AF0899"/>
    <w:rsid w:val="36BD3FAB"/>
    <w:rsid w:val="36BF7B76"/>
    <w:rsid w:val="36CF0326"/>
    <w:rsid w:val="36EF2AD6"/>
    <w:rsid w:val="36FA670D"/>
    <w:rsid w:val="370D56CE"/>
    <w:rsid w:val="37263BB7"/>
    <w:rsid w:val="372F5B46"/>
    <w:rsid w:val="3743125F"/>
    <w:rsid w:val="37540B12"/>
    <w:rsid w:val="375A1E65"/>
    <w:rsid w:val="3762412B"/>
    <w:rsid w:val="3769794D"/>
    <w:rsid w:val="376B2492"/>
    <w:rsid w:val="37742A93"/>
    <w:rsid w:val="37763BDB"/>
    <w:rsid w:val="37780153"/>
    <w:rsid w:val="37831E58"/>
    <w:rsid w:val="37890313"/>
    <w:rsid w:val="37906895"/>
    <w:rsid w:val="379472AB"/>
    <w:rsid w:val="379A02F9"/>
    <w:rsid w:val="37A5234B"/>
    <w:rsid w:val="37B948D4"/>
    <w:rsid w:val="37BD542B"/>
    <w:rsid w:val="37BE6B85"/>
    <w:rsid w:val="37BF1B87"/>
    <w:rsid w:val="37D74F45"/>
    <w:rsid w:val="37DC1CD5"/>
    <w:rsid w:val="37E712BE"/>
    <w:rsid w:val="37E717AF"/>
    <w:rsid w:val="37ED758B"/>
    <w:rsid w:val="37EE3ABB"/>
    <w:rsid w:val="38075F21"/>
    <w:rsid w:val="381E7499"/>
    <w:rsid w:val="382E0693"/>
    <w:rsid w:val="382F1F70"/>
    <w:rsid w:val="383641CE"/>
    <w:rsid w:val="38395F0B"/>
    <w:rsid w:val="38411FAC"/>
    <w:rsid w:val="3843682A"/>
    <w:rsid w:val="3854244B"/>
    <w:rsid w:val="38647F8F"/>
    <w:rsid w:val="38655E03"/>
    <w:rsid w:val="387F1C03"/>
    <w:rsid w:val="387F690B"/>
    <w:rsid w:val="38835BCD"/>
    <w:rsid w:val="388360DB"/>
    <w:rsid w:val="38841646"/>
    <w:rsid w:val="38857733"/>
    <w:rsid w:val="388C0BFB"/>
    <w:rsid w:val="388F1BD9"/>
    <w:rsid w:val="38902837"/>
    <w:rsid w:val="38981F11"/>
    <w:rsid w:val="389F6F2C"/>
    <w:rsid w:val="38B6240B"/>
    <w:rsid w:val="38BB440C"/>
    <w:rsid w:val="38FA6255"/>
    <w:rsid w:val="39027305"/>
    <w:rsid w:val="39040EFE"/>
    <w:rsid w:val="39093F22"/>
    <w:rsid w:val="3910177F"/>
    <w:rsid w:val="39204225"/>
    <w:rsid w:val="39241F9D"/>
    <w:rsid w:val="392F0FA6"/>
    <w:rsid w:val="393E4B3A"/>
    <w:rsid w:val="394136E1"/>
    <w:rsid w:val="394256E4"/>
    <w:rsid w:val="396370A1"/>
    <w:rsid w:val="39805381"/>
    <w:rsid w:val="398750DD"/>
    <w:rsid w:val="398E504E"/>
    <w:rsid w:val="39993207"/>
    <w:rsid w:val="3999356C"/>
    <w:rsid w:val="39AE29EF"/>
    <w:rsid w:val="39B04A52"/>
    <w:rsid w:val="39B255A4"/>
    <w:rsid w:val="39D8720E"/>
    <w:rsid w:val="39D933EE"/>
    <w:rsid w:val="39E70AB4"/>
    <w:rsid w:val="39E822E1"/>
    <w:rsid w:val="39EC3A69"/>
    <w:rsid w:val="39EC4CFD"/>
    <w:rsid w:val="3A1A6AE5"/>
    <w:rsid w:val="3A1D00A9"/>
    <w:rsid w:val="3A24486C"/>
    <w:rsid w:val="3A290FB2"/>
    <w:rsid w:val="3A2A0859"/>
    <w:rsid w:val="3A392C3D"/>
    <w:rsid w:val="3A4E06CC"/>
    <w:rsid w:val="3A59397C"/>
    <w:rsid w:val="3A6C76E2"/>
    <w:rsid w:val="3A7F2725"/>
    <w:rsid w:val="3A865FCC"/>
    <w:rsid w:val="3A8F36F6"/>
    <w:rsid w:val="3A904BB9"/>
    <w:rsid w:val="3A9F736E"/>
    <w:rsid w:val="3AA5505E"/>
    <w:rsid w:val="3ACB0BC3"/>
    <w:rsid w:val="3AD5219C"/>
    <w:rsid w:val="3AEB09F6"/>
    <w:rsid w:val="3AED29F5"/>
    <w:rsid w:val="3B117E5C"/>
    <w:rsid w:val="3B1429BB"/>
    <w:rsid w:val="3B1D59B5"/>
    <w:rsid w:val="3B2F6473"/>
    <w:rsid w:val="3B3255F4"/>
    <w:rsid w:val="3B4105C2"/>
    <w:rsid w:val="3B46169C"/>
    <w:rsid w:val="3B4910D5"/>
    <w:rsid w:val="3B751891"/>
    <w:rsid w:val="3B7D32FB"/>
    <w:rsid w:val="3B85261F"/>
    <w:rsid w:val="3B903C31"/>
    <w:rsid w:val="3B9713A7"/>
    <w:rsid w:val="3BA019A1"/>
    <w:rsid w:val="3BA23028"/>
    <w:rsid w:val="3BA37360"/>
    <w:rsid w:val="3BA520C1"/>
    <w:rsid w:val="3BC60EC6"/>
    <w:rsid w:val="3BC97006"/>
    <w:rsid w:val="3BCB7DB9"/>
    <w:rsid w:val="3BCD391A"/>
    <w:rsid w:val="3BD0729C"/>
    <w:rsid w:val="3BD53312"/>
    <w:rsid w:val="3BFD29DF"/>
    <w:rsid w:val="3C172855"/>
    <w:rsid w:val="3C1C6E01"/>
    <w:rsid w:val="3C2B399F"/>
    <w:rsid w:val="3C2F693E"/>
    <w:rsid w:val="3C38274C"/>
    <w:rsid w:val="3C4C4333"/>
    <w:rsid w:val="3C4E75B4"/>
    <w:rsid w:val="3C5E77F3"/>
    <w:rsid w:val="3C6C5C30"/>
    <w:rsid w:val="3C750042"/>
    <w:rsid w:val="3C755506"/>
    <w:rsid w:val="3C773608"/>
    <w:rsid w:val="3C7A469E"/>
    <w:rsid w:val="3C8E7074"/>
    <w:rsid w:val="3C957FA9"/>
    <w:rsid w:val="3C964251"/>
    <w:rsid w:val="3CAA1F27"/>
    <w:rsid w:val="3CAE1069"/>
    <w:rsid w:val="3CE21D4D"/>
    <w:rsid w:val="3CE97901"/>
    <w:rsid w:val="3CEB0AA4"/>
    <w:rsid w:val="3CF26BD0"/>
    <w:rsid w:val="3CFA144F"/>
    <w:rsid w:val="3CFA29C0"/>
    <w:rsid w:val="3D06058B"/>
    <w:rsid w:val="3D0C0967"/>
    <w:rsid w:val="3D11609F"/>
    <w:rsid w:val="3D207130"/>
    <w:rsid w:val="3D241124"/>
    <w:rsid w:val="3D2A4354"/>
    <w:rsid w:val="3D354D52"/>
    <w:rsid w:val="3D3D0F0F"/>
    <w:rsid w:val="3D553E7F"/>
    <w:rsid w:val="3D775FE4"/>
    <w:rsid w:val="3D7D375B"/>
    <w:rsid w:val="3D813FBF"/>
    <w:rsid w:val="3D9C0826"/>
    <w:rsid w:val="3DA05700"/>
    <w:rsid w:val="3DA61CC4"/>
    <w:rsid w:val="3DBC1C0D"/>
    <w:rsid w:val="3DBD3C2F"/>
    <w:rsid w:val="3DC7357B"/>
    <w:rsid w:val="3DCF6101"/>
    <w:rsid w:val="3DD510E9"/>
    <w:rsid w:val="3DDA309C"/>
    <w:rsid w:val="3DDE2B5D"/>
    <w:rsid w:val="3DDF0AF5"/>
    <w:rsid w:val="3DEF1261"/>
    <w:rsid w:val="3DFD266E"/>
    <w:rsid w:val="3DFF1C01"/>
    <w:rsid w:val="3E24720B"/>
    <w:rsid w:val="3E41576E"/>
    <w:rsid w:val="3E464EE1"/>
    <w:rsid w:val="3E5378BB"/>
    <w:rsid w:val="3E602273"/>
    <w:rsid w:val="3E760551"/>
    <w:rsid w:val="3E884159"/>
    <w:rsid w:val="3E935A3D"/>
    <w:rsid w:val="3E95498C"/>
    <w:rsid w:val="3E9F56DD"/>
    <w:rsid w:val="3E9F5CB9"/>
    <w:rsid w:val="3EA35D6D"/>
    <w:rsid w:val="3EA75D38"/>
    <w:rsid w:val="3EAA03BE"/>
    <w:rsid w:val="3EAA3F13"/>
    <w:rsid w:val="3EAB1E28"/>
    <w:rsid w:val="3EAB5EB7"/>
    <w:rsid w:val="3EB270A6"/>
    <w:rsid w:val="3EBF1CED"/>
    <w:rsid w:val="3EC83CFC"/>
    <w:rsid w:val="3ED42600"/>
    <w:rsid w:val="3ED47EBD"/>
    <w:rsid w:val="3ED50BD6"/>
    <w:rsid w:val="3EDF6230"/>
    <w:rsid w:val="3EE326DE"/>
    <w:rsid w:val="3EE36162"/>
    <w:rsid w:val="3EE455FB"/>
    <w:rsid w:val="3F0D08C9"/>
    <w:rsid w:val="3F102006"/>
    <w:rsid w:val="3F113C78"/>
    <w:rsid w:val="3F1B6E6E"/>
    <w:rsid w:val="3F1D39CD"/>
    <w:rsid w:val="3F206044"/>
    <w:rsid w:val="3F2D7529"/>
    <w:rsid w:val="3F303E6D"/>
    <w:rsid w:val="3F382A2A"/>
    <w:rsid w:val="3F4E57AE"/>
    <w:rsid w:val="3F525B8E"/>
    <w:rsid w:val="3F5E50BD"/>
    <w:rsid w:val="3F7949CC"/>
    <w:rsid w:val="3F7B1DD4"/>
    <w:rsid w:val="3F836EDA"/>
    <w:rsid w:val="3F8E6ED7"/>
    <w:rsid w:val="3F8F5639"/>
    <w:rsid w:val="3FA33341"/>
    <w:rsid w:val="3FA80A42"/>
    <w:rsid w:val="3FAD6DC3"/>
    <w:rsid w:val="3FAE7E91"/>
    <w:rsid w:val="3FB017B1"/>
    <w:rsid w:val="3FB1786A"/>
    <w:rsid w:val="3FB452E6"/>
    <w:rsid w:val="3FBB599D"/>
    <w:rsid w:val="3FCF0987"/>
    <w:rsid w:val="3FDB02D2"/>
    <w:rsid w:val="3FE666B8"/>
    <w:rsid w:val="3FEB5588"/>
    <w:rsid w:val="3FEB7BDF"/>
    <w:rsid w:val="40034552"/>
    <w:rsid w:val="400439AF"/>
    <w:rsid w:val="400611FF"/>
    <w:rsid w:val="40074897"/>
    <w:rsid w:val="40090376"/>
    <w:rsid w:val="401A7160"/>
    <w:rsid w:val="40324D41"/>
    <w:rsid w:val="40335FEB"/>
    <w:rsid w:val="403E49F7"/>
    <w:rsid w:val="40434B77"/>
    <w:rsid w:val="40435D10"/>
    <w:rsid w:val="4047730A"/>
    <w:rsid w:val="40517EE9"/>
    <w:rsid w:val="405979E5"/>
    <w:rsid w:val="40652778"/>
    <w:rsid w:val="407950AC"/>
    <w:rsid w:val="40817CAB"/>
    <w:rsid w:val="408C380D"/>
    <w:rsid w:val="40AA53F3"/>
    <w:rsid w:val="40AD0B07"/>
    <w:rsid w:val="40BE3557"/>
    <w:rsid w:val="40CC34FC"/>
    <w:rsid w:val="40D02F67"/>
    <w:rsid w:val="40D31CE5"/>
    <w:rsid w:val="40D50AE5"/>
    <w:rsid w:val="40D911C3"/>
    <w:rsid w:val="40E23011"/>
    <w:rsid w:val="40E34BA3"/>
    <w:rsid w:val="410007AB"/>
    <w:rsid w:val="41066587"/>
    <w:rsid w:val="410F2191"/>
    <w:rsid w:val="411644D0"/>
    <w:rsid w:val="411D09DE"/>
    <w:rsid w:val="41222FD4"/>
    <w:rsid w:val="412676E2"/>
    <w:rsid w:val="412811C5"/>
    <w:rsid w:val="413470B6"/>
    <w:rsid w:val="41447804"/>
    <w:rsid w:val="4158165D"/>
    <w:rsid w:val="416335F1"/>
    <w:rsid w:val="417D7EB7"/>
    <w:rsid w:val="417E4A91"/>
    <w:rsid w:val="4180767E"/>
    <w:rsid w:val="41887A5A"/>
    <w:rsid w:val="41A67324"/>
    <w:rsid w:val="41B528AF"/>
    <w:rsid w:val="41CB538F"/>
    <w:rsid w:val="41F3246D"/>
    <w:rsid w:val="41F6584F"/>
    <w:rsid w:val="42120BEC"/>
    <w:rsid w:val="421E6BBA"/>
    <w:rsid w:val="42276243"/>
    <w:rsid w:val="42303C37"/>
    <w:rsid w:val="42343AD5"/>
    <w:rsid w:val="423578F4"/>
    <w:rsid w:val="42394C28"/>
    <w:rsid w:val="42445101"/>
    <w:rsid w:val="42490E9F"/>
    <w:rsid w:val="424E4CDE"/>
    <w:rsid w:val="425629BB"/>
    <w:rsid w:val="425F0680"/>
    <w:rsid w:val="42657083"/>
    <w:rsid w:val="426835FD"/>
    <w:rsid w:val="4270227E"/>
    <w:rsid w:val="42725710"/>
    <w:rsid w:val="42757F49"/>
    <w:rsid w:val="427C4356"/>
    <w:rsid w:val="429640C8"/>
    <w:rsid w:val="42964DB4"/>
    <w:rsid w:val="429E7154"/>
    <w:rsid w:val="42B57F72"/>
    <w:rsid w:val="42CD129B"/>
    <w:rsid w:val="42D32CC3"/>
    <w:rsid w:val="42E3068B"/>
    <w:rsid w:val="42F7666D"/>
    <w:rsid w:val="42F91688"/>
    <w:rsid w:val="42FD1F1D"/>
    <w:rsid w:val="43031720"/>
    <w:rsid w:val="43141F68"/>
    <w:rsid w:val="431836BD"/>
    <w:rsid w:val="431E106E"/>
    <w:rsid w:val="4329044A"/>
    <w:rsid w:val="43292E3E"/>
    <w:rsid w:val="432F53AF"/>
    <w:rsid w:val="433D3EF0"/>
    <w:rsid w:val="43471C8F"/>
    <w:rsid w:val="43534358"/>
    <w:rsid w:val="43537967"/>
    <w:rsid w:val="4369458C"/>
    <w:rsid w:val="436B0FEF"/>
    <w:rsid w:val="43804545"/>
    <w:rsid w:val="438E5D97"/>
    <w:rsid w:val="43963D2F"/>
    <w:rsid w:val="43AD0F93"/>
    <w:rsid w:val="43B02FB4"/>
    <w:rsid w:val="43BF7B67"/>
    <w:rsid w:val="43C675F6"/>
    <w:rsid w:val="43DA70F0"/>
    <w:rsid w:val="43EA1CA8"/>
    <w:rsid w:val="43EA52EE"/>
    <w:rsid w:val="43EB32F1"/>
    <w:rsid w:val="43ED609D"/>
    <w:rsid w:val="440B10A3"/>
    <w:rsid w:val="44360319"/>
    <w:rsid w:val="44444AD1"/>
    <w:rsid w:val="445353CE"/>
    <w:rsid w:val="44583204"/>
    <w:rsid w:val="4463101F"/>
    <w:rsid w:val="44632ECA"/>
    <w:rsid w:val="446709B1"/>
    <w:rsid w:val="446B0ED2"/>
    <w:rsid w:val="44784DD8"/>
    <w:rsid w:val="448516AA"/>
    <w:rsid w:val="44854867"/>
    <w:rsid w:val="448A1024"/>
    <w:rsid w:val="448D3975"/>
    <w:rsid w:val="44A81631"/>
    <w:rsid w:val="44AB37AA"/>
    <w:rsid w:val="44B62465"/>
    <w:rsid w:val="44BE608B"/>
    <w:rsid w:val="44F700E9"/>
    <w:rsid w:val="44FD66D4"/>
    <w:rsid w:val="4500559E"/>
    <w:rsid w:val="4522174D"/>
    <w:rsid w:val="452E0FAF"/>
    <w:rsid w:val="45417939"/>
    <w:rsid w:val="454E3EE1"/>
    <w:rsid w:val="45591B9A"/>
    <w:rsid w:val="456053B8"/>
    <w:rsid w:val="4566467E"/>
    <w:rsid w:val="456B7F05"/>
    <w:rsid w:val="457954F6"/>
    <w:rsid w:val="4585130F"/>
    <w:rsid w:val="458D6A46"/>
    <w:rsid w:val="458F737D"/>
    <w:rsid w:val="459B6F72"/>
    <w:rsid w:val="45A23050"/>
    <w:rsid w:val="45AF54B3"/>
    <w:rsid w:val="45BB4825"/>
    <w:rsid w:val="45C00C0F"/>
    <w:rsid w:val="45CE5248"/>
    <w:rsid w:val="45D93C87"/>
    <w:rsid w:val="45ED76AB"/>
    <w:rsid w:val="45EF0BA6"/>
    <w:rsid w:val="45FF6FF3"/>
    <w:rsid w:val="460531A8"/>
    <w:rsid w:val="460567DB"/>
    <w:rsid w:val="46092358"/>
    <w:rsid w:val="46136D35"/>
    <w:rsid w:val="461C1D2B"/>
    <w:rsid w:val="462052FC"/>
    <w:rsid w:val="462976F5"/>
    <w:rsid w:val="46417187"/>
    <w:rsid w:val="46463B2D"/>
    <w:rsid w:val="464736B8"/>
    <w:rsid w:val="464763EF"/>
    <w:rsid w:val="464C6853"/>
    <w:rsid w:val="46593507"/>
    <w:rsid w:val="46893BAA"/>
    <w:rsid w:val="46915A18"/>
    <w:rsid w:val="46965365"/>
    <w:rsid w:val="469E23FE"/>
    <w:rsid w:val="46BA5399"/>
    <w:rsid w:val="46C0774E"/>
    <w:rsid w:val="46C74011"/>
    <w:rsid w:val="46CC5899"/>
    <w:rsid w:val="46DC6B76"/>
    <w:rsid w:val="46E61C15"/>
    <w:rsid w:val="46F9279B"/>
    <w:rsid w:val="46FA61CA"/>
    <w:rsid w:val="47085B62"/>
    <w:rsid w:val="47110CF3"/>
    <w:rsid w:val="4716174D"/>
    <w:rsid w:val="4717746E"/>
    <w:rsid w:val="471A473A"/>
    <w:rsid w:val="472B5447"/>
    <w:rsid w:val="472E0D96"/>
    <w:rsid w:val="473E59E6"/>
    <w:rsid w:val="473E69E7"/>
    <w:rsid w:val="47451F7E"/>
    <w:rsid w:val="47505A13"/>
    <w:rsid w:val="47567980"/>
    <w:rsid w:val="47596A24"/>
    <w:rsid w:val="476020A9"/>
    <w:rsid w:val="47647C67"/>
    <w:rsid w:val="47813E6C"/>
    <w:rsid w:val="47830C17"/>
    <w:rsid w:val="47965D96"/>
    <w:rsid w:val="47A16E20"/>
    <w:rsid w:val="47AD3818"/>
    <w:rsid w:val="47B63425"/>
    <w:rsid w:val="47CC2C76"/>
    <w:rsid w:val="47D013A3"/>
    <w:rsid w:val="47D5537E"/>
    <w:rsid w:val="47E719F6"/>
    <w:rsid w:val="47F644E2"/>
    <w:rsid w:val="48160E89"/>
    <w:rsid w:val="484E4023"/>
    <w:rsid w:val="484E4AFF"/>
    <w:rsid w:val="484F7780"/>
    <w:rsid w:val="485668C9"/>
    <w:rsid w:val="48651D2B"/>
    <w:rsid w:val="48832D0E"/>
    <w:rsid w:val="489946AC"/>
    <w:rsid w:val="48B21364"/>
    <w:rsid w:val="48B6702D"/>
    <w:rsid w:val="48C0565D"/>
    <w:rsid w:val="48C61B67"/>
    <w:rsid w:val="48F04582"/>
    <w:rsid w:val="48F34BC4"/>
    <w:rsid w:val="48F90824"/>
    <w:rsid w:val="48FF5224"/>
    <w:rsid w:val="49191579"/>
    <w:rsid w:val="49197377"/>
    <w:rsid w:val="49227021"/>
    <w:rsid w:val="493613E1"/>
    <w:rsid w:val="494537F3"/>
    <w:rsid w:val="494738E3"/>
    <w:rsid w:val="494E3A8D"/>
    <w:rsid w:val="49520A82"/>
    <w:rsid w:val="495469B6"/>
    <w:rsid w:val="495C5FFC"/>
    <w:rsid w:val="496212D8"/>
    <w:rsid w:val="4962166B"/>
    <w:rsid w:val="496874F6"/>
    <w:rsid w:val="498108E5"/>
    <w:rsid w:val="499409BD"/>
    <w:rsid w:val="49952DEC"/>
    <w:rsid w:val="499A6170"/>
    <w:rsid w:val="499C0BE6"/>
    <w:rsid w:val="49B839D3"/>
    <w:rsid w:val="49B92E28"/>
    <w:rsid w:val="49C66341"/>
    <w:rsid w:val="49D76D2D"/>
    <w:rsid w:val="49DD48C2"/>
    <w:rsid w:val="49E5498A"/>
    <w:rsid w:val="49E86B55"/>
    <w:rsid w:val="4A1261B9"/>
    <w:rsid w:val="4A1D39BF"/>
    <w:rsid w:val="4A335E1A"/>
    <w:rsid w:val="4A370D70"/>
    <w:rsid w:val="4A407E90"/>
    <w:rsid w:val="4A41394B"/>
    <w:rsid w:val="4A48152D"/>
    <w:rsid w:val="4A5A59C7"/>
    <w:rsid w:val="4A5E19AD"/>
    <w:rsid w:val="4A64233B"/>
    <w:rsid w:val="4A655710"/>
    <w:rsid w:val="4A6E1894"/>
    <w:rsid w:val="4A6F2FFF"/>
    <w:rsid w:val="4A735DEF"/>
    <w:rsid w:val="4A8708FD"/>
    <w:rsid w:val="4A924AC6"/>
    <w:rsid w:val="4AAA3D25"/>
    <w:rsid w:val="4AAE2E9D"/>
    <w:rsid w:val="4AB0588A"/>
    <w:rsid w:val="4AB44078"/>
    <w:rsid w:val="4AB928FA"/>
    <w:rsid w:val="4AC144D7"/>
    <w:rsid w:val="4AC634EA"/>
    <w:rsid w:val="4ADF19FB"/>
    <w:rsid w:val="4AE22D3B"/>
    <w:rsid w:val="4AE30665"/>
    <w:rsid w:val="4AF8533B"/>
    <w:rsid w:val="4AFE7615"/>
    <w:rsid w:val="4AFF3475"/>
    <w:rsid w:val="4B257BE7"/>
    <w:rsid w:val="4B2F318E"/>
    <w:rsid w:val="4B452FD1"/>
    <w:rsid w:val="4B5F2D6F"/>
    <w:rsid w:val="4B7E0712"/>
    <w:rsid w:val="4B9D553E"/>
    <w:rsid w:val="4BA31F18"/>
    <w:rsid w:val="4BA45B7B"/>
    <w:rsid w:val="4BA502B0"/>
    <w:rsid w:val="4BA84D58"/>
    <w:rsid w:val="4BC8079B"/>
    <w:rsid w:val="4BD21409"/>
    <w:rsid w:val="4BE540A3"/>
    <w:rsid w:val="4BEB5039"/>
    <w:rsid w:val="4C0E71B4"/>
    <w:rsid w:val="4C14373C"/>
    <w:rsid w:val="4C2841FE"/>
    <w:rsid w:val="4C3A67D6"/>
    <w:rsid w:val="4C3F04EE"/>
    <w:rsid w:val="4C566AEF"/>
    <w:rsid w:val="4C665FDC"/>
    <w:rsid w:val="4C7F4686"/>
    <w:rsid w:val="4C8A60C9"/>
    <w:rsid w:val="4CA83E46"/>
    <w:rsid w:val="4CD11F7B"/>
    <w:rsid w:val="4CF7690B"/>
    <w:rsid w:val="4CFD1608"/>
    <w:rsid w:val="4D005E83"/>
    <w:rsid w:val="4D02378B"/>
    <w:rsid w:val="4D0A2714"/>
    <w:rsid w:val="4D1F687D"/>
    <w:rsid w:val="4D244A36"/>
    <w:rsid w:val="4D35717E"/>
    <w:rsid w:val="4D7D6326"/>
    <w:rsid w:val="4D905252"/>
    <w:rsid w:val="4D9905DB"/>
    <w:rsid w:val="4D9D32EC"/>
    <w:rsid w:val="4D9F0438"/>
    <w:rsid w:val="4DA03483"/>
    <w:rsid w:val="4DA0725F"/>
    <w:rsid w:val="4DA60863"/>
    <w:rsid w:val="4DA80636"/>
    <w:rsid w:val="4DAD3707"/>
    <w:rsid w:val="4DBF6167"/>
    <w:rsid w:val="4DC512C7"/>
    <w:rsid w:val="4DC62DB4"/>
    <w:rsid w:val="4DCF1DF2"/>
    <w:rsid w:val="4DD43B01"/>
    <w:rsid w:val="4DEB2254"/>
    <w:rsid w:val="4DEC1834"/>
    <w:rsid w:val="4E027626"/>
    <w:rsid w:val="4E0B29D0"/>
    <w:rsid w:val="4E0C7CD6"/>
    <w:rsid w:val="4E105137"/>
    <w:rsid w:val="4E125E4B"/>
    <w:rsid w:val="4E24446D"/>
    <w:rsid w:val="4E296084"/>
    <w:rsid w:val="4E384941"/>
    <w:rsid w:val="4E3B58A0"/>
    <w:rsid w:val="4E4F188A"/>
    <w:rsid w:val="4E5B3845"/>
    <w:rsid w:val="4E5F6F23"/>
    <w:rsid w:val="4E645949"/>
    <w:rsid w:val="4E650B89"/>
    <w:rsid w:val="4E684719"/>
    <w:rsid w:val="4E7E3C44"/>
    <w:rsid w:val="4E821445"/>
    <w:rsid w:val="4E882D0E"/>
    <w:rsid w:val="4E8D78E1"/>
    <w:rsid w:val="4E8F765C"/>
    <w:rsid w:val="4EA173B4"/>
    <w:rsid w:val="4EB76CC9"/>
    <w:rsid w:val="4EC67BCB"/>
    <w:rsid w:val="4EC708C5"/>
    <w:rsid w:val="4ED8490F"/>
    <w:rsid w:val="4EDF535A"/>
    <w:rsid w:val="4EFA2969"/>
    <w:rsid w:val="4EFE2DE0"/>
    <w:rsid w:val="4F18793F"/>
    <w:rsid w:val="4F220981"/>
    <w:rsid w:val="4F350E27"/>
    <w:rsid w:val="4F3A2FEE"/>
    <w:rsid w:val="4F40110F"/>
    <w:rsid w:val="4F424A00"/>
    <w:rsid w:val="4F427785"/>
    <w:rsid w:val="4F43035B"/>
    <w:rsid w:val="4F5678E2"/>
    <w:rsid w:val="4F702264"/>
    <w:rsid w:val="4F794547"/>
    <w:rsid w:val="4F7C0BFA"/>
    <w:rsid w:val="4F9021F4"/>
    <w:rsid w:val="4F907BBE"/>
    <w:rsid w:val="4F997FEC"/>
    <w:rsid w:val="4F9C466D"/>
    <w:rsid w:val="4F9F3C3B"/>
    <w:rsid w:val="4FB0238D"/>
    <w:rsid w:val="4FB872AD"/>
    <w:rsid w:val="4FBE3F07"/>
    <w:rsid w:val="4FD87A55"/>
    <w:rsid w:val="4FDC066D"/>
    <w:rsid w:val="4FF5216F"/>
    <w:rsid w:val="4FF75C64"/>
    <w:rsid w:val="500C605D"/>
    <w:rsid w:val="50183D48"/>
    <w:rsid w:val="50191798"/>
    <w:rsid w:val="50225E9C"/>
    <w:rsid w:val="502B5F72"/>
    <w:rsid w:val="502C0DDA"/>
    <w:rsid w:val="502C7022"/>
    <w:rsid w:val="50370A69"/>
    <w:rsid w:val="5041263B"/>
    <w:rsid w:val="50466FD1"/>
    <w:rsid w:val="504A0556"/>
    <w:rsid w:val="504E11FB"/>
    <w:rsid w:val="50522A56"/>
    <w:rsid w:val="50740C4B"/>
    <w:rsid w:val="50753C5A"/>
    <w:rsid w:val="508A666E"/>
    <w:rsid w:val="50914410"/>
    <w:rsid w:val="50A34D25"/>
    <w:rsid w:val="50A4654F"/>
    <w:rsid w:val="50AE2A53"/>
    <w:rsid w:val="50B432F8"/>
    <w:rsid w:val="50BB18DB"/>
    <w:rsid w:val="50BC54AE"/>
    <w:rsid w:val="50E772C9"/>
    <w:rsid w:val="50F13DAF"/>
    <w:rsid w:val="50F7752C"/>
    <w:rsid w:val="51005436"/>
    <w:rsid w:val="510605E6"/>
    <w:rsid w:val="511321E3"/>
    <w:rsid w:val="511E2E82"/>
    <w:rsid w:val="512014C6"/>
    <w:rsid w:val="51210556"/>
    <w:rsid w:val="51317DAD"/>
    <w:rsid w:val="514142E8"/>
    <w:rsid w:val="51427534"/>
    <w:rsid w:val="51535003"/>
    <w:rsid w:val="51537BD9"/>
    <w:rsid w:val="51577749"/>
    <w:rsid w:val="515976F0"/>
    <w:rsid w:val="51814C44"/>
    <w:rsid w:val="518458E0"/>
    <w:rsid w:val="51991793"/>
    <w:rsid w:val="519A3CB4"/>
    <w:rsid w:val="519F4006"/>
    <w:rsid w:val="51A540A5"/>
    <w:rsid w:val="51AF64AA"/>
    <w:rsid w:val="51DD79AA"/>
    <w:rsid w:val="51DE5339"/>
    <w:rsid w:val="51F038A2"/>
    <w:rsid w:val="51F855E4"/>
    <w:rsid w:val="51FA713E"/>
    <w:rsid w:val="52082EB5"/>
    <w:rsid w:val="520A301E"/>
    <w:rsid w:val="52145F48"/>
    <w:rsid w:val="522345BA"/>
    <w:rsid w:val="522974BD"/>
    <w:rsid w:val="523B01BF"/>
    <w:rsid w:val="523C3645"/>
    <w:rsid w:val="52417599"/>
    <w:rsid w:val="5253086C"/>
    <w:rsid w:val="5258771C"/>
    <w:rsid w:val="527C1657"/>
    <w:rsid w:val="527C215D"/>
    <w:rsid w:val="52864C06"/>
    <w:rsid w:val="528C324C"/>
    <w:rsid w:val="528E1B32"/>
    <w:rsid w:val="52A06264"/>
    <w:rsid w:val="52C415C0"/>
    <w:rsid w:val="52CD7EE0"/>
    <w:rsid w:val="52DB1626"/>
    <w:rsid w:val="52E13C09"/>
    <w:rsid w:val="52EB5272"/>
    <w:rsid w:val="52EE0753"/>
    <w:rsid w:val="52F21FBF"/>
    <w:rsid w:val="52FE106D"/>
    <w:rsid w:val="52FE5D89"/>
    <w:rsid w:val="53037E80"/>
    <w:rsid w:val="531C1927"/>
    <w:rsid w:val="533F00BC"/>
    <w:rsid w:val="53465A13"/>
    <w:rsid w:val="534B03E8"/>
    <w:rsid w:val="5357770C"/>
    <w:rsid w:val="53614CE7"/>
    <w:rsid w:val="53693DFB"/>
    <w:rsid w:val="537B25FD"/>
    <w:rsid w:val="537E5248"/>
    <w:rsid w:val="5382368E"/>
    <w:rsid w:val="538B4F94"/>
    <w:rsid w:val="538D421E"/>
    <w:rsid w:val="539F3E48"/>
    <w:rsid w:val="53B82D64"/>
    <w:rsid w:val="53BD6863"/>
    <w:rsid w:val="53C2151D"/>
    <w:rsid w:val="53DC3862"/>
    <w:rsid w:val="53EB5B7A"/>
    <w:rsid w:val="540A64A7"/>
    <w:rsid w:val="541717E6"/>
    <w:rsid w:val="541D6A4B"/>
    <w:rsid w:val="542D1D24"/>
    <w:rsid w:val="542E14A0"/>
    <w:rsid w:val="54362F96"/>
    <w:rsid w:val="54523118"/>
    <w:rsid w:val="545D0BCF"/>
    <w:rsid w:val="549C4E35"/>
    <w:rsid w:val="54AC750F"/>
    <w:rsid w:val="54AE0419"/>
    <w:rsid w:val="54AE177D"/>
    <w:rsid w:val="54B35990"/>
    <w:rsid w:val="54B61C79"/>
    <w:rsid w:val="54BF088F"/>
    <w:rsid w:val="54C844A2"/>
    <w:rsid w:val="54D00AB7"/>
    <w:rsid w:val="54D255F9"/>
    <w:rsid w:val="54D42E60"/>
    <w:rsid w:val="54D85EF9"/>
    <w:rsid w:val="54DA6CB5"/>
    <w:rsid w:val="54EF76BF"/>
    <w:rsid w:val="54FB16B4"/>
    <w:rsid w:val="55175CA3"/>
    <w:rsid w:val="551958AB"/>
    <w:rsid w:val="552532F4"/>
    <w:rsid w:val="55293E97"/>
    <w:rsid w:val="553302FE"/>
    <w:rsid w:val="55503A4C"/>
    <w:rsid w:val="5559677F"/>
    <w:rsid w:val="556916CB"/>
    <w:rsid w:val="556B3DD3"/>
    <w:rsid w:val="556C6C91"/>
    <w:rsid w:val="55703AB0"/>
    <w:rsid w:val="557B2A48"/>
    <w:rsid w:val="557C3DE0"/>
    <w:rsid w:val="55802160"/>
    <w:rsid w:val="55810143"/>
    <w:rsid w:val="55880935"/>
    <w:rsid w:val="55950E89"/>
    <w:rsid w:val="55A053F0"/>
    <w:rsid w:val="55A709FA"/>
    <w:rsid w:val="55AF1D59"/>
    <w:rsid w:val="55BD1C96"/>
    <w:rsid w:val="55BD3D1B"/>
    <w:rsid w:val="55C925A5"/>
    <w:rsid w:val="55D04FA7"/>
    <w:rsid w:val="55D10548"/>
    <w:rsid w:val="55D447AC"/>
    <w:rsid w:val="55D63DC4"/>
    <w:rsid w:val="55DE605B"/>
    <w:rsid w:val="55E02A95"/>
    <w:rsid w:val="55EB0EEA"/>
    <w:rsid w:val="55F320AB"/>
    <w:rsid w:val="55F66FAB"/>
    <w:rsid w:val="55FA2A61"/>
    <w:rsid w:val="56022721"/>
    <w:rsid w:val="56027011"/>
    <w:rsid w:val="560A330E"/>
    <w:rsid w:val="560A3C55"/>
    <w:rsid w:val="561503C1"/>
    <w:rsid w:val="5623048D"/>
    <w:rsid w:val="562542D5"/>
    <w:rsid w:val="562A0401"/>
    <w:rsid w:val="56487F3B"/>
    <w:rsid w:val="564F0852"/>
    <w:rsid w:val="56500476"/>
    <w:rsid w:val="56552CA4"/>
    <w:rsid w:val="565A28D7"/>
    <w:rsid w:val="56712907"/>
    <w:rsid w:val="56795F40"/>
    <w:rsid w:val="569C525C"/>
    <w:rsid w:val="569F535E"/>
    <w:rsid w:val="56A81BD6"/>
    <w:rsid w:val="56AE49A7"/>
    <w:rsid w:val="56C314E7"/>
    <w:rsid w:val="56C5364A"/>
    <w:rsid w:val="56D20AB9"/>
    <w:rsid w:val="56DE58C4"/>
    <w:rsid w:val="56E74023"/>
    <w:rsid w:val="56EE2560"/>
    <w:rsid w:val="56F217F9"/>
    <w:rsid w:val="56F743DA"/>
    <w:rsid w:val="56FB1D20"/>
    <w:rsid w:val="5704607A"/>
    <w:rsid w:val="57325103"/>
    <w:rsid w:val="573332EA"/>
    <w:rsid w:val="57364E86"/>
    <w:rsid w:val="57431ED8"/>
    <w:rsid w:val="57452A1C"/>
    <w:rsid w:val="574E16CD"/>
    <w:rsid w:val="574F2131"/>
    <w:rsid w:val="575771AE"/>
    <w:rsid w:val="57661E57"/>
    <w:rsid w:val="57781B3D"/>
    <w:rsid w:val="577A6FCA"/>
    <w:rsid w:val="577D3589"/>
    <w:rsid w:val="57933174"/>
    <w:rsid w:val="57C118B4"/>
    <w:rsid w:val="57CB3224"/>
    <w:rsid w:val="57DC5368"/>
    <w:rsid w:val="57F31969"/>
    <w:rsid w:val="580063AA"/>
    <w:rsid w:val="580231DE"/>
    <w:rsid w:val="58133B22"/>
    <w:rsid w:val="581933EA"/>
    <w:rsid w:val="582373F9"/>
    <w:rsid w:val="582A3BDD"/>
    <w:rsid w:val="58463632"/>
    <w:rsid w:val="58593565"/>
    <w:rsid w:val="588270BC"/>
    <w:rsid w:val="58852098"/>
    <w:rsid w:val="588852F4"/>
    <w:rsid w:val="588E4E28"/>
    <w:rsid w:val="588F269C"/>
    <w:rsid w:val="5895151E"/>
    <w:rsid w:val="58984200"/>
    <w:rsid w:val="58A957AC"/>
    <w:rsid w:val="58A9755A"/>
    <w:rsid w:val="58B80821"/>
    <w:rsid w:val="58C519A4"/>
    <w:rsid w:val="58CA2F87"/>
    <w:rsid w:val="58DE7320"/>
    <w:rsid w:val="58DF2AC0"/>
    <w:rsid w:val="58EF22D4"/>
    <w:rsid w:val="58F616D9"/>
    <w:rsid w:val="58FA709A"/>
    <w:rsid w:val="590536AB"/>
    <w:rsid w:val="59064C4D"/>
    <w:rsid w:val="592B0C8B"/>
    <w:rsid w:val="592B6B68"/>
    <w:rsid w:val="592F6750"/>
    <w:rsid w:val="594148F5"/>
    <w:rsid w:val="59475B85"/>
    <w:rsid w:val="594A2111"/>
    <w:rsid w:val="595950F3"/>
    <w:rsid w:val="595A3BE2"/>
    <w:rsid w:val="59612D31"/>
    <w:rsid w:val="59672EC6"/>
    <w:rsid w:val="596733BB"/>
    <w:rsid w:val="59801F8E"/>
    <w:rsid w:val="598F2A5E"/>
    <w:rsid w:val="59916E5A"/>
    <w:rsid w:val="599712B9"/>
    <w:rsid w:val="59980F51"/>
    <w:rsid w:val="59A8641A"/>
    <w:rsid w:val="59AD6D05"/>
    <w:rsid w:val="59BB491C"/>
    <w:rsid w:val="59C96AC3"/>
    <w:rsid w:val="59D7792D"/>
    <w:rsid w:val="59D9044E"/>
    <w:rsid w:val="59D95C1D"/>
    <w:rsid w:val="59DA1DB7"/>
    <w:rsid w:val="59E528EA"/>
    <w:rsid w:val="5A0708C9"/>
    <w:rsid w:val="5A174D40"/>
    <w:rsid w:val="5A1803E1"/>
    <w:rsid w:val="5A1D6DA8"/>
    <w:rsid w:val="5A225816"/>
    <w:rsid w:val="5A24385C"/>
    <w:rsid w:val="5A2B199B"/>
    <w:rsid w:val="5A3E5809"/>
    <w:rsid w:val="5A447E98"/>
    <w:rsid w:val="5A48150A"/>
    <w:rsid w:val="5A4A1ED7"/>
    <w:rsid w:val="5A514EFD"/>
    <w:rsid w:val="5A583A9D"/>
    <w:rsid w:val="5A5F305F"/>
    <w:rsid w:val="5A6348AE"/>
    <w:rsid w:val="5A777072"/>
    <w:rsid w:val="5A817BD7"/>
    <w:rsid w:val="5AB8276B"/>
    <w:rsid w:val="5AB858C2"/>
    <w:rsid w:val="5AC05663"/>
    <w:rsid w:val="5AC1087C"/>
    <w:rsid w:val="5AC97DB3"/>
    <w:rsid w:val="5AD0417F"/>
    <w:rsid w:val="5ADB38B7"/>
    <w:rsid w:val="5AE41E18"/>
    <w:rsid w:val="5AEB1793"/>
    <w:rsid w:val="5AF61F15"/>
    <w:rsid w:val="5AF77B58"/>
    <w:rsid w:val="5AF9341C"/>
    <w:rsid w:val="5B012B1A"/>
    <w:rsid w:val="5B0A3FC9"/>
    <w:rsid w:val="5B0C441E"/>
    <w:rsid w:val="5B150B4E"/>
    <w:rsid w:val="5B1559BE"/>
    <w:rsid w:val="5B464BE0"/>
    <w:rsid w:val="5B5409F4"/>
    <w:rsid w:val="5B575A3C"/>
    <w:rsid w:val="5B5A4D95"/>
    <w:rsid w:val="5B5A6193"/>
    <w:rsid w:val="5B5D4292"/>
    <w:rsid w:val="5B621386"/>
    <w:rsid w:val="5B7173D3"/>
    <w:rsid w:val="5B742570"/>
    <w:rsid w:val="5B755846"/>
    <w:rsid w:val="5B7E5605"/>
    <w:rsid w:val="5B8C0611"/>
    <w:rsid w:val="5B9727B9"/>
    <w:rsid w:val="5BA410B1"/>
    <w:rsid w:val="5BAC183B"/>
    <w:rsid w:val="5BAC1BA4"/>
    <w:rsid w:val="5BC362CA"/>
    <w:rsid w:val="5BC77EF7"/>
    <w:rsid w:val="5BC86926"/>
    <w:rsid w:val="5BC9068E"/>
    <w:rsid w:val="5BCB02CE"/>
    <w:rsid w:val="5BF50FBA"/>
    <w:rsid w:val="5BFE2634"/>
    <w:rsid w:val="5BFF3BEE"/>
    <w:rsid w:val="5C025EEA"/>
    <w:rsid w:val="5C081950"/>
    <w:rsid w:val="5C0C5FF7"/>
    <w:rsid w:val="5C1645C8"/>
    <w:rsid w:val="5C193451"/>
    <w:rsid w:val="5C1B1F96"/>
    <w:rsid w:val="5C1B4A42"/>
    <w:rsid w:val="5C1F5A5B"/>
    <w:rsid w:val="5C210D08"/>
    <w:rsid w:val="5C220984"/>
    <w:rsid w:val="5C292CFE"/>
    <w:rsid w:val="5C2D6133"/>
    <w:rsid w:val="5C2E1ADD"/>
    <w:rsid w:val="5C2E6842"/>
    <w:rsid w:val="5C323AAB"/>
    <w:rsid w:val="5C455555"/>
    <w:rsid w:val="5C4A2AF6"/>
    <w:rsid w:val="5C4D050F"/>
    <w:rsid w:val="5C6D04EF"/>
    <w:rsid w:val="5C71681F"/>
    <w:rsid w:val="5C741C2D"/>
    <w:rsid w:val="5C887C5C"/>
    <w:rsid w:val="5C894502"/>
    <w:rsid w:val="5C8E1CDD"/>
    <w:rsid w:val="5C9F0FE4"/>
    <w:rsid w:val="5CA278BD"/>
    <w:rsid w:val="5CAF5298"/>
    <w:rsid w:val="5CB13827"/>
    <w:rsid w:val="5CB858D0"/>
    <w:rsid w:val="5CBA6EAB"/>
    <w:rsid w:val="5CBE75F9"/>
    <w:rsid w:val="5CC86249"/>
    <w:rsid w:val="5CDA2EE0"/>
    <w:rsid w:val="5CE53CA2"/>
    <w:rsid w:val="5CF01781"/>
    <w:rsid w:val="5CF23A0D"/>
    <w:rsid w:val="5CF609CC"/>
    <w:rsid w:val="5CFD59AE"/>
    <w:rsid w:val="5CFD5B63"/>
    <w:rsid w:val="5D096AE9"/>
    <w:rsid w:val="5D1100A7"/>
    <w:rsid w:val="5D332CCB"/>
    <w:rsid w:val="5D4869F6"/>
    <w:rsid w:val="5D4D7284"/>
    <w:rsid w:val="5D5E5136"/>
    <w:rsid w:val="5D6309F6"/>
    <w:rsid w:val="5D694FE4"/>
    <w:rsid w:val="5D7C6D2F"/>
    <w:rsid w:val="5D8A7CB9"/>
    <w:rsid w:val="5D8E27B7"/>
    <w:rsid w:val="5D934584"/>
    <w:rsid w:val="5D95780C"/>
    <w:rsid w:val="5D982316"/>
    <w:rsid w:val="5DA30CE9"/>
    <w:rsid w:val="5DB671FF"/>
    <w:rsid w:val="5DCB223F"/>
    <w:rsid w:val="5DCB6C58"/>
    <w:rsid w:val="5DCF4540"/>
    <w:rsid w:val="5DDE7F73"/>
    <w:rsid w:val="5DE872EC"/>
    <w:rsid w:val="5DE90C56"/>
    <w:rsid w:val="5DF37E23"/>
    <w:rsid w:val="5DF724C2"/>
    <w:rsid w:val="5E007B7E"/>
    <w:rsid w:val="5E160347"/>
    <w:rsid w:val="5E1A7BDA"/>
    <w:rsid w:val="5E2E0EEE"/>
    <w:rsid w:val="5E31644D"/>
    <w:rsid w:val="5E486692"/>
    <w:rsid w:val="5E750C7B"/>
    <w:rsid w:val="5E797E2D"/>
    <w:rsid w:val="5E7C4D7D"/>
    <w:rsid w:val="5E8F3E28"/>
    <w:rsid w:val="5E930EE7"/>
    <w:rsid w:val="5E9B54A0"/>
    <w:rsid w:val="5E9F11E3"/>
    <w:rsid w:val="5E9F6706"/>
    <w:rsid w:val="5EAE1A11"/>
    <w:rsid w:val="5EBB2757"/>
    <w:rsid w:val="5EBD0B30"/>
    <w:rsid w:val="5EC95992"/>
    <w:rsid w:val="5ECA1ED0"/>
    <w:rsid w:val="5ED40048"/>
    <w:rsid w:val="5ED73C3F"/>
    <w:rsid w:val="5EE56C54"/>
    <w:rsid w:val="5EEC21B0"/>
    <w:rsid w:val="5EFA4714"/>
    <w:rsid w:val="5EFE40E4"/>
    <w:rsid w:val="5F0F403F"/>
    <w:rsid w:val="5F1C448C"/>
    <w:rsid w:val="5F1E561F"/>
    <w:rsid w:val="5F216CAC"/>
    <w:rsid w:val="5F3B249F"/>
    <w:rsid w:val="5F411714"/>
    <w:rsid w:val="5F58245B"/>
    <w:rsid w:val="5F601C40"/>
    <w:rsid w:val="5F614678"/>
    <w:rsid w:val="5F6D30CD"/>
    <w:rsid w:val="5F786032"/>
    <w:rsid w:val="5F7D5A04"/>
    <w:rsid w:val="5F7F4FFF"/>
    <w:rsid w:val="5F985FA4"/>
    <w:rsid w:val="5F9E773F"/>
    <w:rsid w:val="5F9F14FE"/>
    <w:rsid w:val="5FA10521"/>
    <w:rsid w:val="5FA11FC7"/>
    <w:rsid w:val="5FA23C4A"/>
    <w:rsid w:val="5FBF696C"/>
    <w:rsid w:val="5FC63357"/>
    <w:rsid w:val="5FCE637D"/>
    <w:rsid w:val="5FD65900"/>
    <w:rsid w:val="5FDB654B"/>
    <w:rsid w:val="5FE2624D"/>
    <w:rsid w:val="5FE37903"/>
    <w:rsid w:val="5FE57432"/>
    <w:rsid w:val="5FF655EF"/>
    <w:rsid w:val="5FFA63A1"/>
    <w:rsid w:val="5FFC7FF0"/>
    <w:rsid w:val="5FFD64D9"/>
    <w:rsid w:val="600546E5"/>
    <w:rsid w:val="600B5D8D"/>
    <w:rsid w:val="600F2A5A"/>
    <w:rsid w:val="600F6888"/>
    <w:rsid w:val="601951A8"/>
    <w:rsid w:val="602935CD"/>
    <w:rsid w:val="602A7FF4"/>
    <w:rsid w:val="602D558B"/>
    <w:rsid w:val="602E6AE5"/>
    <w:rsid w:val="603223E9"/>
    <w:rsid w:val="60382C28"/>
    <w:rsid w:val="603A0CF3"/>
    <w:rsid w:val="603A5AE0"/>
    <w:rsid w:val="6050117B"/>
    <w:rsid w:val="6051190E"/>
    <w:rsid w:val="60793F40"/>
    <w:rsid w:val="607B37F5"/>
    <w:rsid w:val="60867058"/>
    <w:rsid w:val="60917C3F"/>
    <w:rsid w:val="60A25E5B"/>
    <w:rsid w:val="60A601C6"/>
    <w:rsid w:val="60B00C83"/>
    <w:rsid w:val="60D2230F"/>
    <w:rsid w:val="60D643AB"/>
    <w:rsid w:val="60E33D97"/>
    <w:rsid w:val="60E7446C"/>
    <w:rsid w:val="60FD1433"/>
    <w:rsid w:val="61006226"/>
    <w:rsid w:val="6103297E"/>
    <w:rsid w:val="61032CFE"/>
    <w:rsid w:val="6105155B"/>
    <w:rsid w:val="610C12CB"/>
    <w:rsid w:val="610C7715"/>
    <w:rsid w:val="61146F89"/>
    <w:rsid w:val="61190890"/>
    <w:rsid w:val="611E765E"/>
    <w:rsid w:val="611F660B"/>
    <w:rsid w:val="612E62A0"/>
    <w:rsid w:val="61334A90"/>
    <w:rsid w:val="61366D98"/>
    <w:rsid w:val="613A0139"/>
    <w:rsid w:val="61434DA1"/>
    <w:rsid w:val="61471C84"/>
    <w:rsid w:val="614D5113"/>
    <w:rsid w:val="61586C5F"/>
    <w:rsid w:val="615D7115"/>
    <w:rsid w:val="615E4DF2"/>
    <w:rsid w:val="617E6FD3"/>
    <w:rsid w:val="618163CD"/>
    <w:rsid w:val="61843DE4"/>
    <w:rsid w:val="61955B93"/>
    <w:rsid w:val="61A46EB4"/>
    <w:rsid w:val="61B21E3E"/>
    <w:rsid w:val="61B3181F"/>
    <w:rsid w:val="61BE3624"/>
    <w:rsid w:val="61C82173"/>
    <w:rsid w:val="61C82EFA"/>
    <w:rsid w:val="61D30E53"/>
    <w:rsid w:val="61D46F85"/>
    <w:rsid w:val="61E32247"/>
    <w:rsid w:val="61E3448E"/>
    <w:rsid w:val="61EC6D74"/>
    <w:rsid w:val="61FA3A14"/>
    <w:rsid w:val="621D0657"/>
    <w:rsid w:val="62235B9A"/>
    <w:rsid w:val="622D71B1"/>
    <w:rsid w:val="62300DF2"/>
    <w:rsid w:val="624E464A"/>
    <w:rsid w:val="624F0552"/>
    <w:rsid w:val="6254078D"/>
    <w:rsid w:val="625D7BAB"/>
    <w:rsid w:val="627C135A"/>
    <w:rsid w:val="62843DF5"/>
    <w:rsid w:val="62854BB9"/>
    <w:rsid w:val="628610B5"/>
    <w:rsid w:val="62B20280"/>
    <w:rsid w:val="62BC4AA2"/>
    <w:rsid w:val="62BE7A4A"/>
    <w:rsid w:val="62C04FAC"/>
    <w:rsid w:val="62C677B5"/>
    <w:rsid w:val="62F05069"/>
    <w:rsid w:val="63030ED1"/>
    <w:rsid w:val="630323D5"/>
    <w:rsid w:val="63033C4A"/>
    <w:rsid w:val="63067390"/>
    <w:rsid w:val="630D62C2"/>
    <w:rsid w:val="63145DF5"/>
    <w:rsid w:val="63357785"/>
    <w:rsid w:val="6343554C"/>
    <w:rsid w:val="6345104C"/>
    <w:rsid w:val="6345240D"/>
    <w:rsid w:val="6358683A"/>
    <w:rsid w:val="636C5D39"/>
    <w:rsid w:val="63763ECB"/>
    <w:rsid w:val="637C19ED"/>
    <w:rsid w:val="6396166A"/>
    <w:rsid w:val="63970E21"/>
    <w:rsid w:val="639F1FDE"/>
    <w:rsid w:val="63A1335C"/>
    <w:rsid w:val="63A81D63"/>
    <w:rsid w:val="63B105D2"/>
    <w:rsid w:val="63B33AFA"/>
    <w:rsid w:val="63C12ACA"/>
    <w:rsid w:val="63C21551"/>
    <w:rsid w:val="63D2739A"/>
    <w:rsid w:val="63DD5BDF"/>
    <w:rsid w:val="63F45964"/>
    <w:rsid w:val="63F769B7"/>
    <w:rsid w:val="63FA1465"/>
    <w:rsid w:val="63FA6B5D"/>
    <w:rsid w:val="63FC707C"/>
    <w:rsid w:val="640027D6"/>
    <w:rsid w:val="640529E1"/>
    <w:rsid w:val="6409168B"/>
    <w:rsid w:val="64141A66"/>
    <w:rsid w:val="641E16C0"/>
    <w:rsid w:val="6422259E"/>
    <w:rsid w:val="643E1665"/>
    <w:rsid w:val="644142F7"/>
    <w:rsid w:val="64471332"/>
    <w:rsid w:val="64495ECB"/>
    <w:rsid w:val="645A4B38"/>
    <w:rsid w:val="645B7E1E"/>
    <w:rsid w:val="645F2161"/>
    <w:rsid w:val="64670323"/>
    <w:rsid w:val="646803D5"/>
    <w:rsid w:val="64734F13"/>
    <w:rsid w:val="64930DA9"/>
    <w:rsid w:val="64A20CD1"/>
    <w:rsid w:val="64B507F6"/>
    <w:rsid w:val="64BA28E1"/>
    <w:rsid w:val="64C43EE2"/>
    <w:rsid w:val="64CB4381"/>
    <w:rsid w:val="64D74EBC"/>
    <w:rsid w:val="64DB2FAC"/>
    <w:rsid w:val="64EE3E97"/>
    <w:rsid w:val="64F667B6"/>
    <w:rsid w:val="64F7591D"/>
    <w:rsid w:val="65031C4D"/>
    <w:rsid w:val="650825BB"/>
    <w:rsid w:val="650E1C96"/>
    <w:rsid w:val="65155CA4"/>
    <w:rsid w:val="651A073C"/>
    <w:rsid w:val="651D3F71"/>
    <w:rsid w:val="653463FD"/>
    <w:rsid w:val="6535156E"/>
    <w:rsid w:val="653A01D5"/>
    <w:rsid w:val="653E129D"/>
    <w:rsid w:val="654D352B"/>
    <w:rsid w:val="655A3B80"/>
    <w:rsid w:val="655A52BA"/>
    <w:rsid w:val="655D6A08"/>
    <w:rsid w:val="6562562A"/>
    <w:rsid w:val="65625F2C"/>
    <w:rsid w:val="65854212"/>
    <w:rsid w:val="658748E7"/>
    <w:rsid w:val="65954270"/>
    <w:rsid w:val="6595757F"/>
    <w:rsid w:val="659E2ACE"/>
    <w:rsid w:val="65B538AE"/>
    <w:rsid w:val="65BD3BDB"/>
    <w:rsid w:val="65DF5C56"/>
    <w:rsid w:val="65E24AA6"/>
    <w:rsid w:val="65F30469"/>
    <w:rsid w:val="66086EE9"/>
    <w:rsid w:val="66127966"/>
    <w:rsid w:val="661F6702"/>
    <w:rsid w:val="66401EFC"/>
    <w:rsid w:val="66444885"/>
    <w:rsid w:val="66511947"/>
    <w:rsid w:val="665133B7"/>
    <w:rsid w:val="66523B6B"/>
    <w:rsid w:val="66527E00"/>
    <w:rsid w:val="66684604"/>
    <w:rsid w:val="666A0397"/>
    <w:rsid w:val="6678600F"/>
    <w:rsid w:val="668052D9"/>
    <w:rsid w:val="668C05BE"/>
    <w:rsid w:val="668F7897"/>
    <w:rsid w:val="669865C1"/>
    <w:rsid w:val="669B7077"/>
    <w:rsid w:val="66AC731E"/>
    <w:rsid w:val="66AE2ECB"/>
    <w:rsid w:val="66B71097"/>
    <w:rsid w:val="66BD61AC"/>
    <w:rsid w:val="66C03F10"/>
    <w:rsid w:val="66CE6E51"/>
    <w:rsid w:val="66D833C1"/>
    <w:rsid w:val="66D900B5"/>
    <w:rsid w:val="66DC554E"/>
    <w:rsid w:val="66E40746"/>
    <w:rsid w:val="66FE3871"/>
    <w:rsid w:val="66FE76A8"/>
    <w:rsid w:val="671337CD"/>
    <w:rsid w:val="67134C6C"/>
    <w:rsid w:val="671664C1"/>
    <w:rsid w:val="67226D82"/>
    <w:rsid w:val="673875B1"/>
    <w:rsid w:val="673D29AC"/>
    <w:rsid w:val="673D5359"/>
    <w:rsid w:val="673E3D5B"/>
    <w:rsid w:val="674B7738"/>
    <w:rsid w:val="674D600B"/>
    <w:rsid w:val="675A1D8C"/>
    <w:rsid w:val="675C6551"/>
    <w:rsid w:val="676B189A"/>
    <w:rsid w:val="676B7046"/>
    <w:rsid w:val="6776002A"/>
    <w:rsid w:val="67785E2F"/>
    <w:rsid w:val="67824817"/>
    <w:rsid w:val="67875C3D"/>
    <w:rsid w:val="678D4652"/>
    <w:rsid w:val="679A2053"/>
    <w:rsid w:val="679B1AAB"/>
    <w:rsid w:val="67AF196E"/>
    <w:rsid w:val="67B050F7"/>
    <w:rsid w:val="67C80429"/>
    <w:rsid w:val="67E42062"/>
    <w:rsid w:val="67E438C8"/>
    <w:rsid w:val="67ED72CF"/>
    <w:rsid w:val="68117BDC"/>
    <w:rsid w:val="68170FDB"/>
    <w:rsid w:val="68176330"/>
    <w:rsid w:val="681B7D49"/>
    <w:rsid w:val="682217B3"/>
    <w:rsid w:val="68352DFF"/>
    <w:rsid w:val="68384319"/>
    <w:rsid w:val="684D7DB6"/>
    <w:rsid w:val="68533B6F"/>
    <w:rsid w:val="68551BD3"/>
    <w:rsid w:val="68575F24"/>
    <w:rsid w:val="68642196"/>
    <w:rsid w:val="68675618"/>
    <w:rsid w:val="68717655"/>
    <w:rsid w:val="687A4953"/>
    <w:rsid w:val="68801EB0"/>
    <w:rsid w:val="6881729C"/>
    <w:rsid w:val="6884112B"/>
    <w:rsid w:val="688443BB"/>
    <w:rsid w:val="68873C30"/>
    <w:rsid w:val="689177B0"/>
    <w:rsid w:val="689B7152"/>
    <w:rsid w:val="689C608B"/>
    <w:rsid w:val="68A7069E"/>
    <w:rsid w:val="68B11B86"/>
    <w:rsid w:val="68CC4D36"/>
    <w:rsid w:val="68DB23D2"/>
    <w:rsid w:val="68DC688E"/>
    <w:rsid w:val="68E10939"/>
    <w:rsid w:val="68EE0408"/>
    <w:rsid w:val="68F67ABB"/>
    <w:rsid w:val="68FB6806"/>
    <w:rsid w:val="69002F28"/>
    <w:rsid w:val="69226AFB"/>
    <w:rsid w:val="69243A3E"/>
    <w:rsid w:val="69251F3B"/>
    <w:rsid w:val="692577FC"/>
    <w:rsid w:val="69287011"/>
    <w:rsid w:val="69314C69"/>
    <w:rsid w:val="693D1D22"/>
    <w:rsid w:val="69446968"/>
    <w:rsid w:val="694D4481"/>
    <w:rsid w:val="69544A8B"/>
    <w:rsid w:val="69564BAC"/>
    <w:rsid w:val="695B1CAB"/>
    <w:rsid w:val="69620CF6"/>
    <w:rsid w:val="696857B8"/>
    <w:rsid w:val="696F2CE3"/>
    <w:rsid w:val="6971643D"/>
    <w:rsid w:val="69720949"/>
    <w:rsid w:val="69735F0D"/>
    <w:rsid w:val="699960A9"/>
    <w:rsid w:val="69A264CB"/>
    <w:rsid w:val="69A839A5"/>
    <w:rsid w:val="69A844D1"/>
    <w:rsid w:val="69B60A27"/>
    <w:rsid w:val="69C60B59"/>
    <w:rsid w:val="69CE3FF3"/>
    <w:rsid w:val="69E03D20"/>
    <w:rsid w:val="69F2682F"/>
    <w:rsid w:val="69F76BF6"/>
    <w:rsid w:val="69FE2A23"/>
    <w:rsid w:val="6A042B4D"/>
    <w:rsid w:val="6A086DBA"/>
    <w:rsid w:val="6A0D1AEC"/>
    <w:rsid w:val="6A167DB7"/>
    <w:rsid w:val="6A240F13"/>
    <w:rsid w:val="6A5F0759"/>
    <w:rsid w:val="6A617FD0"/>
    <w:rsid w:val="6A672102"/>
    <w:rsid w:val="6A762264"/>
    <w:rsid w:val="6A867826"/>
    <w:rsid w:val="6A8725E1"/>
    <w:rsid w:val="6A985F07"/>
    <w:rsid w:val="6A9E190F"/>
    <w:rsid w:val="6AA2173C"/>
    <w:rsid w:val="6AAD67AF"/>
    <w:rsid w:val="6AB16610"/>
    <w:rsid w:val="6AB21BDE"/>
    <w:rsid w:val="6AB542D4"/>
    <w:rsid w:val="6ABD3BAD"/>
    <w:rsid w:val="6AC00730"/>
    <w:rsid w:val="6ACD4456"/>
    <w:rsid w:val="6ADA7450"/>
    <w:rsid w:val="6ADD5ECB"/>
    <w:rsid w:val="6ADF0D91"/>
    <w:rsid w:val="6AEE6650"/>
    <w:rsid w:val="6AF32D63"/>
    <w:rsid w:val="6AFA0153"/>
    <w:rsid w:val="6AFF2AB6"/>
    <w:rsid w:val="6B217D59"/>
    <w:rsid w:val="6B273BAB"/>
    <w:rsid w:val="6B376D61"/>
    <w:rsid w:val="6B431B69"/>
    <w:rsid w:val="6B4D46B1"/>
    <w:rsid w:val="6B624182"/>
    <w:rsid w:val="6B646821"/>
    <w:rsid w:val="6B6E6F96"/>
    <w:rsid w:val="6B6F1397"/>
    <w:rsid w:val="6B7D3277"/>
    <w:rsid w:val="6B8A6C02"/>
    <w:rsid w:val="6B8C1866"/>
    <w:rsid w:val="6BA65A1A"/>
    <w:rsid w:val="6BB738A3"/>
    <w:rsid w:val="6BBD79E1"/>
    <w:rsid w:val="6BCB2F5E"/>
    <w:rsid w:val="6BD74317"/>
    <w:rsid w:val="6BD95AA2"/>
    <w:rsid w:val="6BEF086B"/>
    <w:rsid w:val="6BF64405"/>
    <w:rsid w:val="6C0341CA"/>
    <w:rsid w:val="6C0F2517"/>
    <w:rsid w:val="6C175610"/>
    <w:rsid w:val="6C184383"/>
    <w:rsid w:val="6C2039E7"/>
    <w:rsid w:val="6C2740C8"/>
    <w:rsid w:val="6C297B7F"/>
    <w:rsid w:val="6C343A4D"/>
    <w:rsid w:val="6C447E3B"/>
    <w:rsid w:val="6C466665"/>
    <w:rsid w:val="6C466A45"/>
    <w:rsid w:val="6C703341"/>
    <w:rsid w:val="6C743AB6"/>
    <w:rsid w:val="6C744384"/>
    <w:rsid w:val="6C7E43E8"/>
    <w:rsid w:val="6C7F2654"/>
    <w:rsid w:val="6C903B49"/>
    <w:rsid w:val="6C954743"/>
    <w:rsid w:val="6C971151"/>
    <w:rsid w:val="6C977F03"/>
    <w:rsid w:val="6C9D5B5E"/>
    <w:rsid w:val="6CA95196"/>
    <w:rsid w:val="6CBE4F8C"/>
    <w:rsid w:val="6CCB13A7"/>
    <w:rsid w:val="6CCD23DE"/>
    <w:rsid w:val="6CDF5DF0"/>
    <w:rsid w:val="6CEA0193"/>
    <w:rsid w:val="6CEC52BE"/>
    <w:rsid w:val="6CEF1588"/>
    <w:rsid w:val="6CF9516A"/>
    <w:rsid w:val="6D145B29"/>
    <w:rsid w:val="6D1926AC"/>
    <w:rsid w:val="6D226B8B"/>
    <w:rsid w:val="6D253CC5"/>
    <w:rsid w:val="6D29026C"/>
    <w:rsid w:val="6D352078"/>
    <w:rsid w:val="6D37071A"/>
    <w:rsid w:val="6D3E6A7B"/>
    <w:rsid w:val="6D4708C3"/>
    <w:rsid w:val="6D4A7364"/>
    <w:rsid w:val="6D4C0A34"/>
    <w:rsid w:val="6D53514A"/>
    <w:rsid w:val="6D66406D"/>
    <w:rsid w:val="6D801033"/>
    <w:rsid w:val="6D803FDB"/>
    <w:rsid w:val="6D963159"/>
    <w:rsid w:val="6DA22A9E"/>
    <w:rsid w:val="6DAB2B01"/>
    <w:rsid w:val="6DB938FC"/>
    <w:rsid w:val="6DC215A5"/>
    <w:rsid w:val="6DE971F7"/>
    <w:rsid w:val="6DEB5369"/>
    <w:rsid w:val="6DF24BA5"/>
    <w:rsid w:val="6DFD0CDE"/>
    <w:rsid w:val="6E006B72"/>
    <w:rsid w:val="6E046245"/>
    <w:rsid w:val="6E077517"/>
    <w:rsid w:val="6E082F71"/>
    <w:rsid w:val="6E0D648D"/>
    <w:rsid w:val="6E10605C"/>
    <w:rsid w:val="6E1F36E7"/>
    <w:rsid w:val="6E2717FC"/>
    <w:rsid w:val="6E3017F9"/>
    <w:rsid w:val="6E453998"/>
    <w:rsid w:val="6E4C1D09"/>
    <w:rsid w:val="6E522052"/>
    <w:rsid w:val="6E542B6F"/>
    <w:rsid w:val="6E5D547C"/>
    <w:rsid w:val="6E5F052D"/>
    <w:rsid w:val="6E7A35FB"/>
    <w:rsid w:val="6E80722C"/>
    <w:rsid w:val="6E8B7237"/>
    <w:rsid w:val="6E907890"/>
    <w:rsid w:val="6E9555DA"/>
    <w:rsid w:val="6E9A4CA4"/>
    <w:rsid w:val="6EB03021"/>
    <w:rsid w:val="6EB7553D"/>
    <w:rsid w:val="6EBB635F"/>
    <w:rsid w:val="6EBC3E7B"/>
    <w:rsid w:val="6EBE3FA2"/>
    <w:rsid w:val="6EC46F66"/>
    <w:rsid w:val="6EDD6D3C"/>
    <w:rsid w:val="6EED473B"/>
    <w:rsid w:val="6F052E85"/>
    <w:rsid w:val="6F0A07DE"/>
    <w:rsid w:val="6F10657A"/>
    <w:rsid w:val="6F1A1B25"/>
    <w:rsid w:val="6F213AE1"/>
    <w:rsid w:val="6F274DEF"/>
    <w:rsid w:val="6F2F4B24"/>
    <w:rsid w:val="6F3F001B"/>
    <w:rsid w:val="6F5C4BF3"/>
    <w:rsid w:val="6F6B6286"/>
    <w:rsid w:val="6F6C0161"/>
    <w:rsid w:val="6F7C57FD"/>
    <w:rsid w:val="6F7F5999"/>
    <w:rsid w:val="6F813CAD"/>
    <w:rsid w:val="6F886784"/>
    <w:rsid w:val="6F9F1EB0"/>
    <w:rsid w:val="6FB04336"/>
    <w:rsid w:val="6FC42374"/>
    <w:rsid w:val="6FF85244"/>
    <w:rsid w:val="700E1F60"/>
    <w:rsid w:val="702360D2"/>
    <w:rsid w:val="702537FB"/>
    <w:rsid w:val="7027728A"/>
    <w:rsid w:val="70352019"/>
    <w:rsid w:val="703A3FDB"/>
    <w:rsid w:val="703E0DF7"/>
    <w:rsid w:val="70485023"/>
    <w:rsid w:val="705E0E59"/>
    <w:rsid w:val="705E6B16"/>
    <w:rsid w:val="7068274F"/>
    <w:rsid w:val="70753B16"/>
    <w:rsid w:val="709373CB"/>
    <w:rsid w:val="70A92F2D"/>
    <w:rsid w:val="70AA0FCF"/>
    <w:rsid w:val="70B35585"/>
    <w:rsid w:val="70B96D69"/>
    <w:rsid w:val="70BD3F1C"/>
    <w:rsid w:val="70BF4BCE"/>
    <w:rsid w:val="70D862FD"/>
    <w:rsid w:val="70E604B5"/>
    <w:rsid w:val="70E83D8D"/>
    <w:rsid w:val="70F87DA6"/>
    <w:rsid w:val="7104512E"/>
    <w:rsid w:val="710D0E19"/>
    <w:rsid w:val="711248E3"/>
    <w:rsid w:val="71153F5B"/>
    <w:rsid w:val="711C5E1D"/>
    <w:rsid w:val="712C16D9"/>
    <w:rsid w:val="713536DC"/>
    <w:rsid w:val="71354A85"/>
    <w:rsid w:val="713B13EF"/>
    <w:rsid w:val="71406460"/>
    <w:rsid w:val="71532342"/>
    <w:rsid w:val="71551BD5"/>
    <w:rsid w:val="71581796"/>
    <w:rsid w:val="715A1E8C"/>
    <w:rsid w:val="715B44C2"/>
    <w:rsid w:val="715B59BF"/>
    <w:rsid w:val="71663D62"/>
    <w:rsid w:val="71675A44"/>
    <w:rsid w:val="716F500A"/>
    <w:rsid w:val="717678FF"/>
    <w:rsid w:val="71810E7F"/>
    <w:rsid w:val="71915F60"/>
    <w:rsid w:val="71951C5C"/>
    <w:rsid w:val="71B53A4F"/>
    <w:rsid w:val="71C304AF"/>
    <w:rsid w:val="71D54CCD"/>
    <w:rsid w:val="71F0523D"/>
    <w:rsid w:val="71F953F7"/>
    <w:rsid w:val="72117AE4"/>
    <w:rsid w:val="721B3303"/>
    <w:rsid w:val="721C2CB0"/>
    <w:rsid w:val="721E561F"/>
    <w:rsid w:val="7224146C"/>
    <w:rsid w:val="72267D9D"/>
    <w:rsid w:val="722F73E8"/>
    <w:rsid w:val="723D7912"/>
    <w:rsid w:val="7245115D"/>
    <w:rsid w:val="72675CBB"/>
    <w:rsid w:val="72754FE2"/>
    <w:rsid w:val="727B3FE8"/>
    <w:rsid w:val="729970BB"/>
    <w:rsid w:val="72A628B9"/>
    <w:rsid w:val="72AE2DB1"/>
    <w:rsid w:val="72BE1940"/>
    <w:rsid w:val="72BE79B7"/>
    <w:rsid w:val="72D2660C"/>
    <w:rsid w:val="72D848AE"/>
    <w:rsid w:val="72D954CD"/>
    <w:rsid w:val="72E20ED4"/>
    <w:rsid w:val="72E60468"/>
    <w:rsid w:val="73094746"/>
    <w:rsid w:val="7315299F"/>
    <w:rsid w:val="73201E58"/>
    <w:rsid w:val="73252F34"/>
    <w:rsid w:val="732649B0"/>
    <w:rsid w:val="733210DE"/>
    <w:rsid w:val="736718CA"/>
    <w:rsid w:val="73673299"/>
    <w:rsid w:val="73714384"/>
    <w:rsid w:val="7375373A"/>
    <w:rsid w:val="737712AA"/>
    <w:rsid w:val="73866B24"/>
    <w:rsid w:val="739F73E0"/>
    <w:rsid w:val="73B90DE6"/>
    <w:rsid w:val="73C7769A"/>
    <w:rsid w:val="73DD7280"/>
    <w:rsid w:val="73E34EDE"/>
    <w:rsid w:val="73F03DC7"/>
    <w:rsid w:val="73F33AE2"/>
    <w:rsid w:val="74110EC0"/>
    <w:rsid w:val="74270FCC"/>
    <w:rsid w:val="742743FA"/>
    <w:rsid w:val="74283B0C"/>
    <w:rsid w:val="74335A84"/>
    <w:rsid w:val="74357FD8"/>
    <w:rsid w:val="74375B65"/>
    <w:rsid w:val="743E6AD1"/>
    <w:rsid w:val="74465F45"/>
    <w:rsid w:val="7455205C"/>
    <w:rsid w:val="74587939"/>
    <w:rsid w:val="745E2DB2"/>
    <w:rsid w:val="746B1E2A"/>
    <w:rsid w:val="747943ED"/>
    <w:rsid w:val="748A30EE"/>
    <w:rsid w:val="74950D27"/>
    <w:rsid w:val="74956BAB"/>
    <w:rsid w:val="749F3B31"/>
    <w:rsid w:val="74A00EA9"/>
    <w:rsid w:val="74A40EAA"/>
    <w:rsid w:val="74A62583"/>
    <w:rsid w:val="74A844D0"/>
    <w:rsid w:val="74B15459"/>
    <w:rsid w:val="74BB1AE3"/>
    <w:rsid w:val="74CB008A"/>
    <w:rsid w:val="74CB44C0"/>
    <w:rsid w:val="74CF23D2"/>
    <w:rsid w:val="74DB681C"/>
    <w:rsid w:val="74DE16C3"/>
    <w:rsid w:val="74DE49AB"/>
    <w:rsid w:val="74E86DEC"/>
    <w:rsid w:val="74EA0FA4"/>
    <w:rsid w:val="74ED4E1E"/>
    <w:rsid w:val="75012DC8"/>
    <w:rsid w:val="75091167"/>
    <w:rsid w:val="751E0922"/>
    <w:rsid w:val="751E5B6C"/>
    <w:rsid w:val="75446CF2"/>
    <w:rsid w:val="75450E5C"/>
    <w:rsid w:val="75462A1B"/>
    <w:rsid w:val="754C2B34"/>
    <w:rsid w:val="75545C5D"/>
    <w:rsid w:val="75660AA2"/>
    <w:rsid w:val="756B4972"/>
    <w:rsid w:val="757C483F"/>
    <w:rsid w:val="758C6DAD"/>
    <w:rsid w:val="758F6214"/>
    <w:rsid w:val="75952755"/>
    <w:rsid w:val="75990E91"/>
    <w:rsid w:val="759A6BA3"/>
    <w:rsid w:val="75AA0E85"/>
    <w:rsid w:val="75BD1968"/>
    <w:rsid w:val="75C32CE1"/>
    <w:rsid w:val="75D90059"/>
    <w:rsid w:val="75E33AB4"/>
    <w:rsid w:val="75E67B2B"/>
    <w:rsid w:val="75FD5649"/>
    <w:rsid w:val="760A4523"/>
    <w:rsid w:val="760B31CC"/>
    <w:rsid w:val="761B2425"/>
    <w:rsid w:val="762846B8"/>
    <w:rsid w:val="7635792C"/>
    <w:rsid w:val="764A5B21"/>
    <w:rsid w:val="765B0198"/>
    <w:rsid w:val="767876B0"/>
    <w:rsid w:val="76A0573C"/>
    <w:rsid w:val="76B66404"/>
    <w:rsid w:val="76B73A85"/>
    <w:rsid w:val="76BC203B"/>
    <w:rsid w:val="76C64EAF"/>
    <w:rsid w:val="76C95A6D"/>
    <w:rsid w:val="76CB5639"/>
    <w:rsid w:val="76D84A3D"/>
    <w:rsid w:val="76E40907"/>
    <w:rsid w:val="76EF105C"/>
    <w:rsid w:val="76EF68E5"/>
    <w:rsid w:val="76F1492D"/>
    <w:rsid w:val="76F23784"/>
    <w:rsid w:val="76F30352"/>
    <w:rsid w:val="76F61E6B"/>
    <w:rsid w:val="76FC591F"/>
    <w:rsid w:val="7717182D"/>
    <w:rsid w:val="77197B00"/>
    <w:rsid w:val="771B5C7F"/>
    <w:rsid w:val="7722007A"/>
    <w:rsid w:val="772F0407"/>
    <w:rsid w:val="7733236D"/>
    <w:rsid w:val="7735029F"/>
    <w:rsid w:val="773A4772"/>
    <w:rsid w:val="774378FF"/>
    <w:rsid w:val="77444AC5"/>
    <w:rsid w:val="775766A7"/>
    <w:rsid w:val="77591F39"/>
    <w:rsid w:val="775E2EB8"/>
    <w:rsid w:val="7765601C"/>
    <w:rsid w:val="776C151F"/>
    <w:rsid w:val="777512D4"/>
    <w:rsid w:val="77761F60"/>
    <w:rsid w:val="77882D05"/>
    <w:rsid w:val="77894DAF"/>
    <w:rsid w:val="779113C4"/>
    <w:rsid w:val="77973B3B"/>
    <w:rsid w:val="779D6354"/>
    <w:rsid w:val="779F5F65"/>
    <w:rsid w:val="77A6520A"/>
    <w:rsid w:val="77AB07A1"/>
    <w:rsid w:val="77B27C11"/>
    <w:rsid w:val="77B430E2"/>
    <w:rsid w:val="77D606BB"/>
    <w:rsid w:val="77D71A25"/>
    <w:rsid w:val="77D85783"/>
    <w:rsid w:val="77DD5B59"/>
    <w:rsid w:val="77DE6871"/>
    <w:rsid w:val="77E51D24"/>
    <w:rsid w:val="77E959AF"/>
    <w:rsid w:val="77F30381"/>
    <w:rsid w:val="77F6495E"/>
    <w:rsid w:val="77FE55BD"/>
    <w:rsid w:val="781C34BC"/>
    <w:rsid w:val="78200E6C"/>
    <w:rsid w:val="783156C9"/>
    <w:rsid w:val="783211A1"/>
    <w:rsid w:val="78332589"/>
    <w:rsid w:val="7834300A"/>
    <w:rsid w:val="783A0A34"/>
    <w:rsid w:val="783C2D6E"/>
    <w:rsid w:val="783C61CC"/>
    <w:rsid w:val="78470E9E"/>
    <w:rsid w:val="786E38AA"/>
    <w:rsid w:val="786F5C8C"/>
    <w:rsid w:val="78706322"/>
    <w:rsid w:val="788075B7"/>
    <w:rsid w:val="788E7C14"/>
    <w:rsid w:val="788F2480"/>
    <w:rsid w:val="7894010C"/>
    <w:rsid w:val="789800C4"/>
    <w:rsid w:val="789B7A1A"/>
    <w:rsid w:val="789F1963"/>
    <w:rsid w:val="78A66331"/>
    <w:rsid w:val="78B73A0C"/>
    <w:rsid w:val="78C76E25"/>
    <w:rsid w:val="78CC43CD"/>
    <w:rsid w:val="78CD7AE3"/>
    <w:rsid w:val="78EA7272"/>
    <w:rsid w:val="78EB5977"/>
    <w:rsid w:val="78FC7A22"/>
    <w:rsid w:val="791A06FE"/>
    <w:rsid w:val="7930309B"/>
    <w:rsid w:val="79343980"/>
    <w:rsid w:val="79384AEB"/>
    <w:rsid w:val="7943203D"/>
    <w:rsid w:val="79582425"/>
    <w:rsid w:val="797E0996"/>
    <w:rsid w:val="79892C94"/>
    <w:rsid w:val="79A83845"/>
    <w:rsid w:val="79AF3083"/>
    <w:rsid w:val="79B0084B"/>
    <w:rsid w:val="79B45443"/>
    <w:rsid w:val="79BA03C6"/>
    <w:rsid w:val="79BA116F"/>
    <w:rsid w:val="79C760BB"/>
    <w:rsid w:val="79D54A17"/>
    <w:rsid w:val="79D61BB6"/>
    <w:rsid w:val="79FB2C9A"/>
    <w:rsid w:val="7A082FDC"/>
    <w:rsid w:val="7A165982"/>
    <w:rsid w:val="7A1A5C22"/>
    <w:rsid w:val="7A1B49A0"/>
    <w:rsid w:val="7A263458"/>
    <w:rsid w:val="7A2E70D6"/>
    <w:rsid w:val="7A3A2621"/>
    <w:rsid w:val="7A4243AE"/>
    <w:rsid w:val="7A490096"/>
    <w:rsid w:val="7A4A0ED9"/>
    <w:rsid w:val="7A5952E7"/>
    <w:rsid w:val="7A695068"/>
    <w:rsid w:val="7A6F29A1"/>
    <w:rsid w:val="7A7071EF"/>
    <w:rsid w:val="7A8C6282"/>
    <w:rsid w:val="7A9B09A5"/>
    <w:rsid w:val="7AA378FA"/>
    <w:rsid w:val="7AA77895"/>
    <w:rsid w:val="7AA844CA"/>
    <w:rsid w:val="7AAA2CD2"/>
    <w:rsid w:val="7AAF1DD3"/>
    <w:rsid w:val="7AB33333"/>
    <w:rsid w:val="7AB369F9"/>
    <w:rsid w:val="7AC71BB7"/>
    <w:rsid w:val="7AC7211A"/>
    <w:rsid w:val="7ACE0A78"/>
    <w:rsid w:val="7ACE73F4"/>
    <w:rsid w:val="7ACF0EE0"/>
    <w:rsid w:val="7AD1797B"/>
    <w:rsid w:val="7AD97C13"/>
    <w:rsid w:val="7AE5456E"/>
    <w:rsid w:val="7AEA5A84"/>
    <w:rsid w:val="7AED576F"/>
    <w:rsid w:val="7AFB1103"/>
    <w:rsid w:val="7B0B1031"/>
    <w:rsid w:val="7B166879"/>
    <w:rsid w:val="7B1B026C"/>
    <w:rsid w:val="7B284986"/>
    <w:rsid w:val="7B2D4C4C"/>
    <w:rsid w:val="7B2F021C"/>
    <w:rsid w:val="7B512A6C"/>
    <w:rsid w:val="7B5302CE"/>
    <w:rsid w:val="7B5307EB"/>
    <w:rsid w:val="7B7112A6"/>
    <w:rsid w:val="7B731127"/>
    <w:rsid w:val="7B7D323C"/>
    <w:rsid w:val="7B812B23"/>
    <w:rsid w:val="7B870A57"/>
    <w:rsid w:val="7B8C1947"/>
    <w:rsid w:val="7B900DFB"/>
    <w:rsid w:val="7BAC0477"/>
    <w:rsid w:val="7BAC6733"/>
    <w:rsid w:val="7BBD3BAF"/>
    <w:rsid w:val="7BC13200"/>
    <w:rsid w:val="7BD96C97"/>
    <w:rsid w:val="7BEF7AA8"/>
    <w:rsid w:val="7BF52543"/>
    <w:rsid w:val="7BFA13DB"/>
    <w:rsid w:val="7C0004DA"/>
    <w:rsid w:val="7C0627E4"/>
    <w:rsid w:val="7C064E4B"/>
    <w:rsid w:val="7C155A5E"/>
    <w:rsid w:val="7C1B295B"/>
    <w:rsid w:val="7C1E523A"/>
    <w:rsid w:val="7C346BE3"/>
    <w:rsid w:val="7C4A155C"/>
    <w:rsid w:val="7C5476CE"/>
    <w:rsid w:val="7C566541"/>
    <w:rsid w:val="7C685468"/>
    <w:rsid w:val="7C7E5F45"/>
    <w:rsid w:val="7C96346D"/>
    <w:rsid w:val="7C9A4ABE"/>
    <w:rsid w:val="7CA1097A"/>
    <w:rsid w:val="7CA11C62"/>
    <w:rsid w:val="7CA334EA"/>
    <w:rsid w:val="7CB761E8"/>
    <w:rsid w:val="7CB96BA4"/>
    <w:rsid w:val="7CCF4804"/>
    <w:rsid w:val="7CDB1001"/>
    <w:rsid w:val="7CEE2FDF"/>
    <w:rsid w:val="7CF53AD3"/>
    <w:rsid w:val="7D027B95"/>
    <w:rsid w:val="7D0B7331"/>
    <w:rsid w:val="7D196C8E"/>
    <w:rsid w:val="7D1E7FD3"/>
    <w:rsid w:val="7D226D5C"/>
    <w:rsid w:val="7D2C3FD1"/>
    <w:rsid w:val="7D5F37E9"/>
    <w:rsid w:val="7D735D27"/>
    <w:rsid w:val="7D7A5511"/>
    <w:rsid w:val="7D920629"/>
    <w:rsid w:val="7D966334"/>
    <w:rsid w:val="7D984666"/>
    <w:rsid w:val="7D990D6F"/>
    <w:rsid w:val="7DB74EA4"/>
    <w:rsid w:val="7DD71447"/>
    <w:rsid w:val="7DDA68F3"/>
    <w:rsid w:val="7DDD716D"/>
    <w:rsid w:val="7DE220FD"/>
    <w:rsid w:val="7DE25387"/>
    <w:rsid w:val="7DE559D9"/>
    <w:rsid w:val="7DE65EEE"/>
    <w:rsid w:val="7DF21E76"/>
    <w:rsid w:val="7DFB3AE4"/>
    <w:rsid w:val="7E142D26"/>
    <w:rsid w:val="7E161E98"/>
    <w:rsid w:val="7E1834A3"/>
    <w:rsid w:val="7E2B2F00"/>
    <w:rsid w:val="7E3544AB"/>
    <w:rsid w:val="7E377F1B"/>
    <w:rsid w:val="7E4B7ECB"/>
    <w:rsid w:val="7E540D44"/>
    <w:rsid w:val="7E57719C"/>
    <w:rsid w:val="7E6719C0"/>
    <w:rsid w:val="7E802760"/>
    <w:rsid w:val="7E9B38FE"/>
    <w:rsid w:val="7EC144A8"/>
    <w:rsid w:val="7ECA13D3"/>
    <w:rsid w:val="7ED25445"/>
    <w:rsid w:val="7ED7053B"/>
    <w:rsid w:val="7EE26C5A"/>
    <w:rsid w:val="7EE842B2"/>
    <w:rsid w:val="7EF4336B"/>
    <w:rsid w:val="7EFB44E7"/>
    <w:rsid w:val="7F0E620B"/>
    <w:rsid w:val="7F0F2B03"/>
    <w:rsid w:val="7F112228"/>
    <w:rsid w:val="7F140E92"/>
    <w:rsid w:val="7F2E1322"/>
    <w:rsid w:val="7F3036DB"/>
    <w:rsid w:val="7F3062EE"/>
    <w:rsid w:val="7F3B789E"/>
    <w:rsid w:val="7F3F7AE3"/>
    <w:rsid w:val="7F5053F4"/>
    <w:rsid w:val="7F5A20E3"/>
    <w:rsid w:val="7F68418F"/>
    <w:rsid w:val="7F6874E4"/>
    <w:rsid w:val="7F6A0464"/>
    <w:rsid w:val="7F6A3C9F"/>
    <w:rsid w:val="7F6B4FF6"/>
    <w:rsid w:val="7F6D1280"/>
    <w:rsid w:val="7F833EDA"/>
    <w:rsid w:val="7F906083"/>
    <w:rsid w:val="7F9376B3"/>
    <w:rsid w:val="7FA00F85"/>
    <w:rsid w:val="7FAD2551"/>
    <w:rsid w:val="7FAF2DF8"/>
    <w:rsid w:val="7FC27E9B"/>
    <w:rsid w:val="7FCA59B6"/>
    <w:rsid w:val="7FD0349B"/>
    <w:rsid w:val="7FDC67D5"/>
    <w:rsid w:val="7FE93671"/>
    <w:rsid w:val="7FF60ACA"/>
    <w:rsid w:val="7FF84A28"/>
    <w:rsid w:val="7FF91955"/>
    <w:rsid w:val="7FFE501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35"/>
    <w:qFormat/>
    <w:uiPriority w:val="1"/>
    <w:pPr>
      <w:keepNext/>
      <w:keepLines/>
      <w:spacing w:before="50" w:beforeLines="50" w:after="100" w:afterLines="100" w:line="360" w:lineRule="auto"/>
      <w:jc w:val="center"/>
      <w:outlineLvl w:val="0"/>
    </w:pPr>
    <w:rPr>
      <w:rFonts w:eastAsia="黑体"/>
      <w:b/>
      <w:bCs/>
      <w:kern w:val="44"/>
      <w:sz w:val="32"/>
      <w:szCs w:val="44"/>
    </w:rPr>
  </w:style>
  <w:style w:type="paragraph" w:styleId="3">
    <w:name w:val="heading 2"/>
    <w:basedOn w:val="1"/>
    <w:next w:val="1"/>
    <w:link w:val="27"/>
    <w:qFormat/>
    <w:uiPriority w:val="1"/>
    <w:pPr>
      <w:keepNext/>
      <w:keepLines/>
      <w:spacing w:before="50" w:beforeLines="50" w:after="50" w:afterLines="50" w:line="360" w:lineRule="auto"/>
      <w:ind w:firstLine="960" w:firstLineChars="200"/>
      <w:outlineLvl w:val="1"/>
    </w:pPr>
    <w:rPr>
      <w:rFonts w:ascii="Cambria" w:hAnsi="Cambria" w:eastAsia="黑体" w:cs="Times New Roman"/>
      <w:b/>
      <w:bCs/>
      <w:sz w:val="28"/>
      <w:szCs w:val="32"/>
    </w:rPr>
  </w:style>
  <w:style w:type="paragraph" w:styleId="4">
    <w:name w:val="heading 3"/>
    <w:basedOn w:val="1"/>
    <w:next w:val="1"/>
    <w:link w:val="28"/>
    <w:qFormat/>
    <w:uiPriority w:val="1"/>
    <w:pPr>
      <w:keepNext/>
      <w:keepLines/>
      <w:spacing w:line="360" w:lineRule="auto"/>
      <w:outlineLvl w:val="2"/>
    </w:pPr>
    <w:rPr>
      <w:rFonts w:eastAsia="黑体"/>
      <w:b/>
      <w:bCs/>
      <w:sz w:val="24"/>
      <w:szCs w:val="32"/>
    </w:rPr>
  </w:style>
  <w:style w:type="paragraph" w:styleId="5">
    <w:name w:val="heading 5"/>
    <w:basedOn w:val="1"/>
    <w:next w:val="1"/>
    <w:link w:val="29"/>
    <w:qFormat/>
    <w:uiPriority w:val="9"/>
    <w:pPr>
      <w:keepNext/>
      <w:keepLines/>
      <w:spacing w:before="280" w:after="290" w:line="376" w:lineRule="auto"/>
      <w:outlineLvl w:val="4"/>
    </w:pPr>
    <w:rPr>
      <w:b/>
      <w:bCs/>
      <w:sz w:val="28"/>
      <w:szCs w:val="28"/>
    </w:rPr>
  </w:style>
  <w:style w:type="character" w:default="1" w:styleId="19">
    <w:name w:val="Default Paragraph Font"/>
    <w:unhideWhenUsed/>
    <w:qFormat/>
    <w:uiPriority w:val="1"/>
  </w:style>
  <w:style w:type="table" w:default="1" w:styleId="17">
    <w:name w:val="Normal Table"/>
    <w:autoRedefine/>
    <w:unhideWhenUsed/>
    <w:qFormat/>
    <w:uiPriority w:val="99"/>
    <w:tblPr>
      <w:tblCellMar>
        <w:top w:w="0" w:type="dxa"/>
        <w:left w:w="108" w:type="dxa"/>
        <w:bottom w:w="0" w:type="dxa"/>
        <w:right w:w="108" w:type="dxa"/>
      </w:tblCellMar>
    </w:tblPr>
  </w:style>
  <w:style w:type="paragraph" w:styleId="6">
    <w:name w:val="Body Text"/>
    <w:basedOn w:val="1"/>
    <w:link w:val="25"/>
    <w:autoRedefine/>
    <w:unhideWhenUsed/>
    <w:qFormat/>
    <w:uiPriority w:val="1"/>
    <w:pPr>
      <w:spacing w:after="120"/>
    </w:pPr>
  </w:style>
  <w:style w:type="paragraph" w:styleId="7">
    <w:name w:val="Date"/>
    <w:basedOn w:val="1"/>
    <w:next w:val="1"/>
    <w:link w:val="30"/>
    <w:unhideWhenUsed/>
    <w:qFormat/>
    <w:uiPriority w:val="99"/>
    <w:pPr>
      <w:ind w:left="100" w:leftChars="2500"/>
    </w:pPr>
  </w:style>
  <w:style w:type="paragraph" w:styleId="8">
    <w:name w:val="endnote text"/>
    <w:basedOn w:val="1"/>
    <w:unhideWhenUsed/>
    <w:qFormat/>
    <w:uiPriority w:val="99"/>
    <w:pPr>
      <w:snapToGrid w:val="0"/>
      <w:jc w:val="left"/>
    </w:pPr>
  </w:style>
  <w:style w:type="paragraph" w:styleId="9">
    <w:name w:val="Balloon Text"/>
    <w:basedOn w:val="1"/>
    <w:link w:val="31"/>
    <w:unhideWhenUsed/>
    <w:qFormat/>
    <w:uiPriority w:val="99"/>
    <w:rPr>
      <w:sz w:val="18"/>
      <w:szCs w:val="18"/>
    </w:rPr>
  </w:style>
  <w:style w:type="paragraph" w:styleId="10">
    <w:name w:val="footer"/>
    <w:basedOn w:val="1"/>
    <w:link w:val="32"/>
    <w:unhideWhenUsed/>
    <w:qFormat/>
    <w:uiPriority w:val="99"/>
    <w:pPr>
      <w:tabs>
        <w:tab w:val="center" w:pos="4153"/>
        <w:tab w:val="right" w:pos="8306"/>
      </w:tabs>
      <w:snapToGrid w:val="0"/>
      <w:jc w:val="left"/>
    </w:pPr>
    <w:rPr>
      <w:sz w:val="18"/>
      <w:szCs w:val="18"/>
    </w:rPr>
  </w:style>
  <w:style w:type="paragraph" w:styleId="11">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footnote text"/>
    <w:basedOn w:val="1"/>
    <w:link w:val="34"/>
    <w:unhideWhenUsed/>
    <w:qFormat/>
    <w:uiPriority w:val="99"/>
    <w:pPr>
      <w:snapToGrid w:val="0"/>
      <w:jc w:val="left"/>
    </w:pPr>
    <w:rPr>
      <w:sz w:val="18"/>
      <w:szCs w:val="18"/>
    </w:rPr>
  </w:style>
  <w:style w:type="paragraph" w:styleId="14">
    <w:name w:val="toc 2"/>
    <w:basedOn w:val="1"/>
    <w:next w:val="1"/>
    <w:unhideWhenUsed/>
    <w:qFormat/>
    <w:uiPriority w:val="39"/>
    <w:pPr>
      <w:ind w:left="420" w:leftChars="200"/>
    </w:pPr>
  </w:style>
  <w:style w:type="paragraph" w:styleId="15">
    <w:name w:val="Normal (Web)"/>
    <w:basedOn w:val="1"/>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16">
    <w:name w:val="Body Text First Indent"/>
    <w:basedOn w:val="6"/>
    <w:unhideWhenUsed/>
    <w:qFormat/>
    <w:uiPriority w:val="99"/>
    <w:pPr>
      <w:ind w:firstLine="420" w:firstLineChars="100"/>
    </w:pPr>
  </w:style>
  <w:style w:type="table" w:styleId="18">
    <w:name w:val="Table Grid"/>
    <w:basedOn w:val="1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rPr>
  </w:style>
  <w:style w:type="character" w:styleId="21">
    <w:name w:val="endnote reference"/>
    <w:basedOn w:val="19"/>
    <w:autoRedefine/>
    <w:unhideWhenUsed/>
    <w:qFormat/>
    <w:uiPriority w:val="99"/>
    <w:rPr>
      <w:vertAlign w:val="superscript"/>
    </w:rPr>
  </w:style>
  <w:style w:type="character" w:styleId="22">
    <w:name w:val="Hyperlink"/>
    <w:unhideWhenUsed/>
    <w:qFormat/>
    <w:uiPriority w:val="99"/>
    <w:rPr>
      <w:color w:val="0000FF"/>
      <w:u w:val="single"/>
    </w:rPr>
  </w:style>
  <w:style w:type="character" w:styleId="23">
    <w:name w:val="annotation reference"/>
    <w:basedOn w:val="19"/>
    <w:semiHidden/>
    <w:unhideWhenUsed/>
    <w:qFormat/>
    <w:uiPriority w:val="99"/>
    <w:rPr>
      <w:sz w:val="21"/>
      <w:szCs w:val="21"/>
    </w:rPr>
  </w:style>
  <w:style w:type="character" w:styleId="24">
    <w:name w:val="footnote reference"/>
    <w:autoRedefine/>
    <w:unhideWhenUsed/>
    <w:qFormat/>
    <w:uiPriority w:val="99"/>
    <w:rPr>
      <w:vertAlign w:val="superscript"/>
    </w:rPr>
  </w:style>
  <w:style w:type="character" w:customStyle="1" w:styleId="25">
    <w:name w:val="正文文本 字符"/>
    <w:basedOn w:val="19"/>
    <w:link w:val="6"/>
    <w:qFormat/>
    <w:uiPriority w:val="99"/>
  </w:style>
  <w:style w:type="character" w:customStyle="1" w:styleId="26">
    <w:name w:val="标题 1 Char"/>
    <w:link w:val="2"/>
    <w:autoRedefine/>
    <w:qFormat/>
    <w:uiPriority w:val="9"/>
    <w:rPr>
      <w:rFonts w:eastAsia="黑体"/>
      <w:b/>
      <w:bCs/>
      <w:kern w:val="44"/>
      <w:sz w:val="32"/>
      <w:szCs w:val="44"/>
    </w:rPr>
  </w:style>
  <w:style w:type="character" w:customStyle="1" w:styleId="27">
    <w:name w:val="标题 2 字符"/>
    <w:link w:val="3"/>
    <w:semiHidden/>
    <w:qFormat/>
    <w:uiPriority w:val="9"/>
    <w:rPr>
      <w:rFonts w:ascii="Cambria" w:hAnsi="Cambria" w:eastAsia="黑体" w:cs="Times New Roman"/>
      <w:b/>
      <w:bCs/>
      <w:sz w:val="28"/>
      <w:szCs w:val="32"/>
    </w:rPr>
  </w:style>
  <w:style w:type="character" w:customStyle="1" w:styleId="28">
    <w:name w:val="标题 3 字符"/>
    <w:link w:val="4"/>
    <w:autoRedefine/>
    <w:semiHidden/>
    <w:qFormat/>
    <w:uiPriority w:val="9"/>
    <w:rPr>
      <w:rFonts w:eastAsia="黑体"/>
      <w:b/>
      <w:bCs/>
      <w:sz w:val="24"/>
      <w:szCs w:val="32"/>
    </w:rPr>
  </w:style>
  <w:style w:type="character" w:customStyle="1" w:styleId="29">
    <w:name w:val="标题 5 字符"/>
    <w:link w:val="5"/>
    <w:semiHidden/>
    <w:qFormat/>
    <w:uiPriority w:val="9"/>
    <w:rPr>
      <w:b/>
      <w:bCs/>
      <w:sz w:val="28"/>
      <w:szCs w:val="28"/>
    </w:rPr>
  </w:style>
  <w:style w:type="character" w:customStyle="1" w:styleId="30">
    <w:name w:val="日期 字符"/>
    <w:link w:val="7"/>
    <w:semiHidden/>
    <w:qFormat/>
    <w:uiPriority w:val="99"/>
    <w:rPr>
      <w:rFonts w:ascii="Calibri" w:hAnsi="Calibri"/>
      <w:kern w:val="2"/>
      <w:sz w:val="21"/>
      <w:szCs w:val="22"/>
    </w:rPr>
  </w:style>
  <w:style w:type="character" w:customStyle="1" w:styleId="31">
    <w:name w:val="批注框文本 字符"/>
    <w:link w:val="9"/>
    <w:semiHidden/>
    <w:qFormat/>
    <w:uiPriority w:val="99"/>
    <w:rPr>
      <w:sz w:val="18"/>
      <w:szCs w:val="18"/>
    </w:rPr>
  </w:style>
  <w:style w:type="character" w:customStyle="1" w:styleId="32">
    <w:name w:val="页脚 字符"/>
    <w:link w:val="10"/>
    <w:qFormat/>
    <w:uiPriority w:val="99"/>
    <w:rPr>
      <w:sz w:val="18"/>
      <w:szCs w:val="18"/>
    </w:rPr>
  </w:style>
  <w:style w:type="character" w:customStyle="1" w:styleId="33">
    <w:name w:val="页眉 字符"/>
    <w:link w:val="11"/>
    <w:qFormat/>
    <w:uiPriority w:val="99"/>
    <w:rPr>
      <w:sz w:val="18"/>
      <w:szCs w:val="18"/>
    </w:rPr>
  </w:style>
  <w:style w:type="character" w:customStyle="1" w:styleId="34">
    <w:name w:val="脚注文本 字符"/>
    <w:link w:val="13"/>
    <w:semiHidden/>
    <w:qFormat/>
    <w:uiPriority w:val="99"/>
    <w:rPr>
      <w:sz w:val="18"/>
      <w:szCs w:val="18"/>
    </w:rPr>
  </w:style>
  <w:style w:type="character" w:customStyle="1" w:styleId="35">
    <w:name w:val="标题 1 字符"/>
    <w:link w:val="2"/>
    <w:qFormat/>
    <w:uiPriority w:val="9"/>
    <w:rPr>
      <w:b/>
      <w:bCs/>
      <w:kern w:val="44"/>
      <w:sz w:val="44"/>
      <w:szCs w:val="44"/>
    </w:rPr>
  </w:style>
  <w:style w:type="paragraph" w:customStyle="1" w:styleId="36">
    <w:name w:val="表和图标题"/>
    <w:basedOn w:val="1"/>
    <w:link w:val="37"/>
    <w:qFormat/>
    <w:uiPriority w:val="0"/>
  </w:style>
  <w:style w:type="character" w:customStyle="1" w:styleId="37">
    <w:name w:val="表和图标题 Char"/>
    <w:link w:val="36"/>
    <w:qFormat/>
    <w:uiPriority w:val="0"/>
  </w:style>
  <w:style w:type="paragraph" w:customStyle="1" w:styleId="38">
    <w:name w:val="我的表格"/>
    <w:basedOn w:val="1"/>
    <w:autoRedefine/>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rFonts w:ascii="宋体" w:hAnsi="宋体" w:cs="宋体"/>
      <w:sz w:val="21"/>
      <w:szCs w:val="21"/>
    </w:rPr>
  </w:style>
  <w:style w:type="character" w:customStyle="1" w:styleId="39">
    <w:name w:val="font31"/>
    <w:basedOn w:val="19"/>
    <w:qFormat/>
    <w:uiPriority w:val="0"/>
    <w:rPr>
      <w:rFonts w:hint="eastAsia" w:ascii="宋体" w:hAnsi="宋体" w:eastAsia="宋体" w:cs="宋体"/>
      <w:b/>
      <w:color w:val="000000"/>
      <w:sz w:val="21"/>
      <w:szCs w:val="21"/>
      <w:u w:val="none"/>
    </w:rPr>
  </w:style>
  <w:style w:type="paragraph" w:customStyle="1" w:styleId="40">
    <w:name w:val="样式2"/>
    <w:basedOn w:val="1"/>
    <w:autoRedefine/>
    <w:qFormat/>
    <w:uiPriority w:val="0"/>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vsbcontent_star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3">
    <w:name w:val="WPSOffice手动目录 1"/>
    <w:autoRedefine/>
    <w:qFormat/>
    <w:uiPriority w:val="0"/>
    <w:rPr>
      <w:rFonts w:ascii="Times New Roman" w:hAnsi="Times New Roman" w:eastAsia="宋体" w:cs="Times New Roman"/>
      <w:lang w:val="en-US" w:eastAsia="zh-CN" w:bidi="ar-SA"/>
    </w:rPr>
  </w:style>
  <w:style w:type="paragraph" w:customStyle="1" w:styleId="44">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45">
    <w:name w:val="Table Paragraph"/>
    <w:basedOn w:val="1"/>
    <w:autoRedefine/>
    <w:qFormat/>
    <w:uiPriority w:val="1"/>
    <w:pPr>
      <w:autoSpaceDE w:val="0"/>
      <w:autoSpaceDN w:val="0"/>
      <w:adjustRightInd w:val="0"/>
      <w:jc w:val="left"/>
    </w:pPr>
    <w:rPr>
      <w:rFonts w:ascii="Times New Roman" w:hAnsi="Times New Roman" w:cs="Times New Roman"/>
      <w:kern w:val="0"/>
      <w:sz w:val="24"/>
      <w:szCs w:val="24"/>
    </w:rPr>
  </w:style>
  <w:style w:type="paragraph" w:customStyle="1" w:styleId="46">
    <w:name w:val="列出段落1"/>
    <w:basedOn w:val="1"/>
    <w:qFormat/>
    <w:uiPriority w:val="1"/>
    <w:pPr>
      <w:ind w:firstLine="420" w:firstLineChars="200"/>
    </w:pPr>
  </w:style>
  <w:style w:type="paragraph" w:customStyle="1" w:styleId="47">
    <w:name w:val="无间隔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styleId="48">
    <w:name w:val="List Paragraph"/>
    <w:basedOn w:val="1"/>
    <w:autoRedefine/>
    <w:qFormat/>
    <w:uiPriority w:val="1"/>
    <w:pPr>
      <w:ind w:left="1218" w:hanging="282"/>
      <w:jc w:val="both"/>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chart" Target="charts/chart90.xml"/><Relationship Id="rId98" Type="http://schemas.openxmlformats.org/officeDocument/2006/relationships/chart" Target="charts/chart89.xml"/><Relationship Id="rId97" Type="http://schemas.openxmlformats.org/officeDocument/2006/relationships/chart" Target="charts/chart88.xml"/><Relationship Id="rId96" Type="http://schemas.openxmlformats.org/officeDocument/2006/relationships/chart" Target="charts/chart87.xml"/><Relationship Id="rId95" Type="http://schemas.openxmlformats.org/officeDocument/2006/relationships/chart" Target="charts/chart86.xml"/><Relationship Id="rId94" Type="http://schemas.openxmlformats.org/officeDocument/2006/relationships/chart" Target="charts/chart85.xml"/><Relationship Id="rId93" Type="http://schemas.openxmlformats.org/officeDocument/2006/relationships/chart" Target="charts/chart84.xml"/><Relationship Id="rId92" Type="http://schemas.openxmlformats.org/officeDocument/2006/relationships/chart" Target="charts/chart83.xml"/><Relationship Id="rId91" Type="http://schemas.openxmlformats.org/officeDocument/2006/relationships/chart" Target="charts/chart82.xml"/><Relationship Id="rId90" Type="http://schemas.openxmlformats.org/officeDocument/2006/relationships/chart" Target="charts/chart81.xml"/><Relationship Id="rId9" Type="http://schemas.openxmlformats.org/officeDocument/2006/relationships/theme" Target="theme/theme1.xml"/><Relationship Id="rId89" Type="http://schemas.openxmlformats.org/officeDocument/2006/relationships/chart" Target="charts/chart80.xml"/><Relationship Id="rId88" Type="http://schemas.openxmlformats.org/officeDocument/2006/relationships/chart" Target="charts/chart79.xml"/><Relationship Id="rId87" Type="http://schemas.openxmlformats.org/officeDocument/2006/relationships/chart" Target="charts/chart78.xml"/><Relationship Id="rId86" Type="http://schemas.openxmlformats.org/officeDocument/2006/relationships/chart" Target="charts/chart77.xml"/><Relationship Id="rId85" Type="http://schemas.openxmlformats.org/officeDocument/2006/relationships/chart" Target="charts/chart76.xml"/><Relationship Id="rId84" Type="http://schemas.openxmlformats.org/officeDocument/2006/relationships/chart" Target="charts/chart75.xml"/><Relationship Id="rId83" Type="http://schemas.openxmlformats.org/officeDocument/2006/relationships/chart" Target="charts/chart74.xml"/><Relationship Id="rId82" Type="http://schemas.openxmlformats.org/officeDocument/2006/relationships/chart" Target="charts/chart73.xml"/><Relationship Id="rId81" Type="http://schemas.openxmlformats.org/officeDocument/2006/relationships/chart" Target="charts/chart72.xml"/><Relationship Id="rId80" Type="http://schemas.openxmlformats.org/officeDocument/2006/relationships/chart" Target="charts/chart71.xml"/><Relationship Id="rId8" Type="http://schemas.openxmlformats.org/officeDocument/2006/relationships/footer" Target="footer3.xml"/><Relationship Id="rId79" Type="http://schemas.openxmlformats.org/officeDocument/2006/relationships/chart" Target="charts/chart70.xml"/><Relationship Id="rId78" Type="http://schemas.openxmlformats.org/officeDocument/2006/relationships/chart" Target="charts/chart69.xml"/><Relationship Id="rId77" Type="http://schemas.openxmlformats.org/officeDocument/2006/relationships/chart" Target="charts/chart68.xml"/><Relationship Id="rId76" Type="http://schemas.openxmlformats.org/officeDocument/2006/relationships/chart" Target="charts/chart67.xml"/><Relationship Id="rId75" Type="http://schemas.openxmlformats.org/officeDocument/2006/relationships/chart" Target="charts/chart66.xml"/><Relationship Id="rId74" Type="http://schemas.openxmlformats.org/officeDocument/2006/relationships/chart" Target="charts/chart65.xml"/><Relationship Id="rId73" Type="http://schemas.openxmlformats.org/officeDocument/2006/relationships/chart" Target="charts/chart64.xml"/><Relationship Id="rId72" Type="http://schemas.openxmlformats.org/officeDocument/2006/relationships/chart" Target="charts/chart63.xml"/><Relationship Id="rId71" Type="http://schemas.openxmlformats.org/officeDocument/2006/relationships/chart" Target="charts/chart62.xml"/><Relationship Id="rId70" Type="http://schemas.openxmlformats.org/officeDocument/2006/relationships/chart" Target="charts/chart61.xml"/><Relationship Id="rId7" Type="http://schemas.openxmlformats.org/officeDocument/2006/relationships/footer" Target="footer2.xml"/><Relationship Id="rId69" Type="http://schemas.openxmlformats.org/officeDocument/2006/relationships/chart" Target="charts/chart60.xml"/><Relationship Id="rId68" Type="http://schemas.openxmlformats.org/officeDocument/2006/relationships/chart" Target="charts/chart59.xml"/><Relationship Id="rId67" Type="http://schemas.openxmlformats.org/officeDocument/2006/relationships/chart" Target="charts/chart58.xml"/><Relationship Id="rId66" Type="http://schemas.openxmlformats.org/officeDocument/2006/relationships/chart" Target="charts/chart57.xml"/><Relationship Id="rId65" Type="http://schemas.openxmlformats.org/officeDocument/2006/relationships/chart" Target="charts/chart56.xml"/><Relationship Id="rId64" Type="http://schemas.openxmlformats.org/officeDocument/2006/relationships/chart" Target="charts/chart55.xml"/><Relationship Id="rId63" Type="http://schemas.openxmlformats.org/officeDocument/2006/relationships/chart" Target="charts/chart54.xml"/><Relationship Id="rId62" Type="http://schemas.openxmlformats.org/officeDocument/2006/relationships/chart" Target="charts/chart53.xml"/><Relationship Id="rId61" Type="http://schemas.openxmlformats.org/officeDocument/2006/relationships/chart" Target="charts/chart52.xml"/><Relationship Id="rId60" Type="http://schemas.openxmlformats.org/officeDocument/2006/relationships/chart" Target="charts/chart51.xml"/><Relationship Id="rId6" Type="http://schemas.openxmlformats.org/officeDocument/2006/relationships/footer" Target="footer1.xml"/><Relationship Id="rId59" Type="http://schemas.openxmlformats.org/officeDocument/2006/relationships/chart" Target="charts/chart50.xml"/><Relationship Id="rId58" Type="http://schemas.openxmlformats.org/officeDocument/2006/relationships/chart" Target="charts/chart49.xml"/><Relationship Id="rId57" Type="http://schemas.openxmlformats.org/officeDocument/2006/relationships/chart" Target="charts/chart48.xml"/><Relationship Id="rId56" Type="http://schemas.openxmlformats.org/officeDocument/2006/relationships/chart" Target="charts/chart47.xml"/><Relationship Id="rId55" Type="http://schemas.openxmlformats.org/officeDocument/2006/relationships/chart" Target="charts/chart46.xml"/><Relationship Id="rId54" Type="http://schemas.openxmlformats.org/officeDocument/2006/relationships/chart" Target="charts/chart45.xml"/><Relationship Id="rId53" Type="http://schemas.openxmlformats.org/officeDocument/2006/relationships/chart" Target="charts/chart44.xml"/><Relationship Id="rId52" Type="http://schemas.openxmlformats.org/officeDocument/2006/relationships/chart" Target="charts/chart43.xml"/><Relationship Id="rId51" Type="http://schemas.openxmlformats.org/officeDocument/2006/relationships/chart" Target="charts/chart42.xml"/><Relationship Id="rId50" Type="http://schemas.openxmlformats.org/officeDocument/2006/relationships/chart" Target="charts/chart41.xml"/><Relationship Id="rId5" Type="http://schemas.openxmlformats.org/officeDocument/2006/relationships/header" Target="header1.xml"/><Relationship Id="rId49" Type="http://schemas.openxmlformats.org/officeDocument/2006/relationships/chart" Target="charts/chart40.xml"/><Relationship Id="rId48" Type="http://schemas.openxmlformats.org/officeDocument/2006/relationships/chart" Target="charts/chart39.xml"/><Relationship Id="rId47" Type="http://schemas.openxmlformats.org/officeDocument/2006/relationships/chart" Target="charts/chart38.xml"/><Relationship Id="rId46" Type="http://schemas.openxmlformats.org/officeDocument/2006/relationships/chart" Target="charts/chart37.xml"/><Relationship Id="rId45" Type="http://schemas.openxmlformats.org/officeDocument/2006/relationships/chart" Target="charts/chart36.xml"/><Relationship Id="rId44" Type="http://schemas.openxmlformats.org/officeDocument/2006/relationships/chart" Target="charts/chart35.xml"/><Relationship Id="rId43" Type="http://schemas.openxmlformats.org/officeDocument/2006/relationships/chart" Target="charts/chart34.xml"/><Relationship Id="rId42" Type="http://schemas.openxmlformats.org/officeDocument/2006/relationships/chart" Target="charts/chart33.xml"/><Relationship Id="rId41" Type="http://schemas.openxmlformats.org/officeDocument/2006/relationships/chart" Target="charts/chart32.xml"/><Relationship Id="rId40" Type="http://schemas.openxmlformats.org/officeDocument/2006/relationships/chart" Target="charts/chart31.xml"/><Relationship Id="rId4" Type="http://schemas.openxmlformats.org/officeDocument/2006/relationships/endnotes" Target="endnotes.xml"/><Relationship Id="rId39" Type="http://schemas.openxmlformats.org/officeDocument/2006/relationships/chart" Target="charts/chart30.xml"/><Relationship Id="rId38" Type="http://schemas.openxmlformats.org/officeDocument/2006/relationships/chart" Target="charts/chart29.xml"/><Relationship Id="rId37" Type="http://schemas.openxmlformats.org/officeDocument/2006/relationships/chart" Target="charts/chart28.xml"/><Relationship Id="rId36" Type="http://schemas.openxmlformats.org/officeDocument/2006/relationships/chart" Target="charts/chart27.xml"/><Relationship Id="rId35" Type="http://schemas.openxmlformats.org/officeDocument/2006/relationships/chart" Target="charts/chart26.xml"/><Relationship Id="rId34" Type="http://schemas.openxmlformats.org/officeDocument/2006/relationships/chart" Target="charts/chart25.xml"/><Relationship Id="rId33" Type="http://schemas.openxmlformats.org/officeDocument/2006/relationships/chart" Target="charts/chart24.xml"/><Relationship Id="rId32" Type="http://schemas.openxmlformats.org/officeDocument/2006/relationships/chart" Target="charts/chart23.xml"/><Relationship Id="rId31" Type="http://schemas.openxmlformats.org/officeDocument/2006/relationships/chart" Target="charts/chart22.xml"/><Relationship Id="rId30" Type="http://schemas.openxmlformats.org/officeDocument/2006/relationships/chart" Target="charts/chart21.xml"/><Relationship Id="rId3" Type="http://schemas.openxmlformats.org/officeDocument/2006/relationships/footnotes" Target="footnotes.xml"/><Relationship Id="rId29" Type="http://schemas.openxmlformats.org/officeDocument/2006/relationships/chart" Target="charts/chart20.xml"/><Relationship Id="rId28" Type="http://schemas.openxmlformats.org/officeDocument/2006/relationships/chart" Target="charts/chart19.xml"/><Relationship Id="rId27" Type="http://schemas.openxmlformats.org/officeDocument/2006/relationships/chart" Target="charts/chart18.xml"/><Relationship Id="rId26" Type="http://schemas.openxmlformats.org/officeDocument/2006/relationships/chart" Target="charts/chart17.xml"/><Relationship Id="rId25" Type="http://schemas.openxmlformats.org/officeDocument/2006/relationships/chart" Target="charts/chart16.xml"/><Relationship Id="rId24" Type="http://schemas.openxmlformats.org/officeDocument/2006/relationships/chart" Target="charts/chart15.xml"/><Relationship Id="rId23" Type="http://schemas.openxmlformats.org/officeDocument/2006/relationships/chart" Target="charts/chart14.xml"/><Relationship Id="rId22" Type="http://schemas.openxmlformats.org/officeDocument/2006/relationships/chart" Target="charts/chart13.xml"/><Relationship Id="rId21" Type="http://schemas.openxmlformats.org/officeDocument/2006/relationships/chart" Target="charts/chart12.xml"/><Relationship Id="rId20" Type="http://schemas.openxmlformats.org/officeDocument/2006/relationships/chart" Target="charts/chart11.xml"/><Relationship Id="rId2" Type="http://schemas.openxmlformats.org/officeDocument/2006/relationships/settings" Target="settings.xml"/><Relationship Id="rId19" Type="http://schemas.openxmlformats.org/officeDocument/2006/relationships/chart" Target="charts/chart10.xml"/><Relationship Id="rId18" Type="http://schemas.openxmlformats.org/officeDocument/2006/relationships/chart" Target="charts/chart9.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5" Type="http://schemas.openxmlformats.org/officeDocument/2006/relationships/fontTable" Target="fontTable.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chart" Target="charts/chart103.xml"/><Relationship Id="rId111" Type="http://schemas.openxmlformats.org/officeDocument/2006/relationships/chart" Target="charts/chart102.xml"/><Relationship Id="rId110" Type="http://schemas.openxmlformats.org/officeDocument/2006/relationships/chart" Target="charts/chart101.xml"/><Relationship Id="rId11" Type="http://schemas.openxmlformats.org/officeDocument/2006/relationships/chart" Target="charts/chart2.xml"/><Relationship Id="rId109" Type="http://schemas.openxmlformats.org/officeDocument/2006/relationships/chart" Target="charts/chart100.xml"/><Relationship Id="rId108" Type="http://schemas.openxmlformats.org/officeDocument/2006/relationships/chart" Target="charts/chart99.xml"/><Relationship Id="rId107" Type="http://schemas.openxmlformats.org/officeDocument/2006/relationships/chart" Target="charts/chart98.xml"/><Relationship Id="rId106" Type="http://schemas.openxmlformats.org/officeDocument/2006/relationships/chart" Target="charts/chart97.xml"/><Relationship Id="rId105" Type="http://schemas.openxmlformats.org/officeDocument/2006/relationships/chart" Target="charts/chart96.xml"/><Relationship Id="rId104" Type="http://schemas.openxmlformats.org/officeDocument/2006/relationships/chart" Target="charts/chart95.xml"/><Relationship Id="rId103" Type="http://schemas.openxmlformats.org/officeDocument/2006/relationships/chart" Target="charts/chart94.xml"/><Relationship Id="rId102" Type="http://schemas.openxmlformats.org/officeDocument/2006/relationships/chart" Target="charts/chart93.xml"/><Relationship Id="rId101" Type="http://schemas.openxmlformats.org/officeDocument/2006/relationships/chart" Target="charts/chart92.xml"/><Relationship Id="rId100" Type="http://schemas.openxmlformats.org/officeDocument/2006/relationships/chart" Target="charts/chart91.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image" Target="../media/image2.png"/><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5" Type="http://schemas.microsoft.com/office/2011/relationships/chartColorStyle" Target="colors11.xml"/><Relationship Id="rId4" Type="http://schemas.microsoft.com/office/2011/relationships/chartStyle" Target="style11.xml"/><Relationship Id="rId3" Type="http://schemas.openxmlformats.org/officeDocument/2006/relationships/image" Target="../media/image2.png"/><Relationship Id="rId2" Type="http://schemas.openxmlformats.org/officeDocument/2006/relationships/themeOverride" Target="../theme/themeOverride11.xml"/><Relationship Id="rId1" Type="http://schemas.openxmlformats.org/officeDocument/2006/relationships/package" Target="../embeddings/Workbook11.xlsx"/></Relationships>
</file>

<file path=word/charts/_rels/chart100.xml.rels><?xml version="1.0" encoding="UTF-8" standalone="yes"?>
<Relationships xmlns="http://schemas.openxmlformats.org/package/2006/relationships"><Relationship Id="rId5" Type="http://schemas.microsoft.com/office/2011/relationships/chartColorStyle" Target="colors56.xml"/><Relationship Id="rId4" Type="http://schemas.microsoft.com/office/2011/relationships/chartStyle" Target="style56.xml"/><Relationship Id="rId3" Type="http://schemas.openxmlformats.org/officeDocument/2006/relationships/image" Target="../media/image2.png"/><Relationship Id="rId2" Type="http://schemas.openxmlformats.org/officeDocument/2006/relationships/themeOverride" Target="../theme/themeOverride57.xml"/><Relationship Id="rId1" Type="http://schemas.openxmlformats.org/officeDocument/2006/relationships/package" Target="../embeddings/Workbook57.xlsx"/></Relationships>
</file>

<file path=word/charts/_rels/chart101.xml.rels><?xml version="1.0" encoding="UTF-8" standalone="yes"?>
<Relationships xmlns="http://schemas.openxmlformats.org/package/2006/relationships"><Relationship Id="rId5" Type="http://schemas.microsoft.com/office/2011/relationships/chartColorStyle" Target="colors57.xml"/><Relationship Id="rId4" Type="http://schemas.microsoft.com/office/2011/relationships/chartStyle" Target="style57.xml"/><Relationship Id="rId3" Type="http://schemas.openxmlformats.org/officeDocument/2006/relationships/image" Target="../media/image2.png"/><Relationship Id="rId2" Type="http://schemas.openxmlformats.org/officeDocument/2006/relationships/themeOverride" Target="../theme/themeOverride58.xml"/><Relationship Id="rId1" Type="http://schemas.openxmlformats.org/officeDocument/2006/relationships/package" Target="../embeddings/Workbook58.xlsx"/></Relationships>
</file>

<file path=word/charts/_rels/chart102.xml.rels><?xml version="1.0" encoding="UTF-8" standalone="yes"?>
<Relationships xmlns="http://schemas.openxmlformats.org/package/2006/relationships"><Relationship Id="rId5" Type="http://schemas.microsoft.com/office/2011/relationships/chartColorStyle" Target="colors64.xml"/><Relationship Id="rId4" Type="http://schemas.microsoft.com/office/2011/relationships/chartStyle" Target="style64.xml"/><Relationship Id="rId3" Type="http://schemas.openxmlformats.org/officeDocument/2006/relationships/image" Target="../media/image2.png"/><Relationship Id="rId2" Type="http://schemas.openxmlformats.org/officeDocument/2006/relationships/themeOverride" Target="../theme/themeOverride65.xml"/><Relationship Id="rId1" Type="http://schemas.openxmlformats.org/officeDocument/2006/relationships/package" Target="../embeddings/Workbook65.xlsx"/></Relationships>
</file>

<file path=word/charts/_rels/chart103.xml.rels><?xml version="1.0" encoding="UTF-8" standalone="yes"?>
<Relationships xmlns="http://schemas.openxmlformats.org/package/2006/relationships"><Relationship Id="rId5" Type="http://schemas.microsoft.com/office/2011/relationships/chartColorStyle" Target="colors55.xml"/><Relationship Id="rId4" Type="http://schemas.microsoft.com/office/2011/relationships/chartStyle" Target="style55.xml"/><Relationship Id="rId3" Type="http://schemas.openxmlformats.org/officeDocument/2006/relationships/image" Target="../media/image2.png"/><Relationship Id="rId2" Type="http://schemas.openxmlformats.org/officeDocument/2006/relationships/themeOverride" Target="../theme/themeOverride56.xml"/><Relationship Id="rId1" Type="http://schemas.openxmlformats.org/officeDocument/2006/relationships/package" Target="../embeddings/Workbook56.xlsx"/></Relationships>
</file>

<file path=word/charts/_rels/chart11.xml.rels><?xml version="1.0" encoding="UTF-8" standalone="yes"?>
<Relationships xmlns="http://schemas.openxmlformats.org/package/2006/relationships"><Relationship Id="rId5" Type="http://schemas.microsoft.com/office/2011/relationships/chartColorStyle" Target="colors12.xml"/><Relationship Id="rId4" Type="http://schemas.microsoft.com/office/2011/relationships/chartStyle" Target="style12.xml"/><Relationship Id="rId3" Type="http://schemas.openxmlformats.org/officeDocument/2006/relationships/image" Target="../media/image2.png"/><Relationship Id="rId2" Type="http://schemas.openxmlformats.org/officeDocument/2006/relationships/themeOverride" Target="../theme/themeOverride12.xml"/><Relationship Id="rId1" Type="http://schemas.openxmlformats.org/officeDocument/2006/relationships/package" Target="../embeddings/Workbook12.xlsx"/></Relationships>
</file>

<file path=word/charts/_rels/chart12.xml.rels><?xml version="1.0" encoding="UTF-8" standalone="yes"?>
<Relationships xmlns="http://schemas.openxmlformats.org/package/2006/relationships"><Relationship Id="rId5" Type="http://schemas.microsoft.com/office/2011/relationships/chartColorStyle" Target="colors13.xml"/><Relationship Id="rId4" Type="http://schemas.microsoft.com/office/2011/relationships/chartStyle" Target="style13.xml"/><Relationship Id="rId3" Type="http://schemas.openxmlformats.org/officeDocument/2006/relationships/image" Target="../media/image2.png"/><Relationship Id="rId2" Type="http://schemas.openxmlformats.org/officeDocument/2006/relationships/themeOverride" Target="../theme/themeOverride13.xml"/><Relationship Id="rId1" Type="http://schemas.openxmlformats.org/officeDocument/2006/relationships/package" Target="../embeddings/Workbook13.xlsx"/></Relationships>
</file>

<file path=word/charts/_rels/chart13.xml.rels><?xml version="1.0" encoding="UTF-8" standalone="yes"?>
<Relationships xmlns="http://schemas.openxmlformats.org/package/2006/relationships"><Relationship Id="rId5" Type="http://schemas.microsoft.com/office/2011/relationships/chartColorStyle" Target="colors10.xml"/><Relationship Id="rId4" Type="http://schemas.microsoft.com/office/2011/relationships/chartStyle" Target="style10.xml"/><Relationship Id="rId3" Type="http://schemas.openxmlformats.org/officeDocument/2006/relationships/image" Target="../media/image2.png"/><Relationship Id="rId2" Type="http://schemas.openxmlformats.org/officeDocument/2006/relationships/themeOverride" Target="../theme/themeOverride10.xml"/><Relationship Id="rId1" Type="http://schemas.openxmlformats.org/officeDocument/2006/relationships/package" Target="../embeddings/Workbook10.xlsx"/></Relationships>
</file>

<file path=word/charts/_rels/chart14.xml.rels><?xml version="1.0" encoding="UTF-8" standalone="yes"?>
<Relationships xmlns="http://schemas.openxmlformats.org/package/2006/relationships"><Relationship Id="rId5" Type="http://schemas.microsoft.com/office/2011/relationships/chartColorStyle" Target="colors20.xml"/><Relationship Id="rId4" Type="http://schemas.microsoft.com/office/2011/relationships/chartStyle" Target="style20.xml"/><Relationship Id="rId3" Type="http://schemas.openxmlformats.org/officeDocument/2006/relationships/image" Target="../media/image1.png"/><Relationship Id="rId2" Type="http://schemas.openxmlformats.org/officeDocument/2006/relationships/themeOverride" Target="../theme/themeOverride20.xml"/><Relationship Id="rId1" Type="http://schemas.openxmlformats.org/officeDocument/2006/relationships/package" Target="../embeddings/Workbook20.xlsx"/></Relationships>
</file>

<file path=word/charts/_rels/chart15.xml.rels><?xml version="1.0" encoding="UTF-8" standalone="yes"?>
<Relationships xmlns="http://schemas.openxmlformats.org/package/2006/relationships"><Relationship Id="rId5" Type="http://schemas.microsoft.com/office/2011/relationships/chartColorStyle" Target="colors18.xml"/><Relationship Id="rId4" Type="http://schemas.microsoft.com/office/2011/relationships/chartStyle" Target="style18.xml"/><Relationship Id="rId3" Type="http://schemas.openxmlformats.org/officeDocument/2006/relationships/image" Target="../media/image1.png"/><Relationship Id="rId2" Type="http://schemas.openxmlformats.org/officeDocument/2006/relationships/themeOverride" Target="../theme/themeOverride18.xml"/><Relationship Id="rId1" Type="http://schemas.openxmlformats.org/officeDocument/2006/relationships/package" Target="../embeddings/Workbook18.xlsx"/></Relationships>
</file>

<file path=word/charts/_rels/chart16.xml.rels><?xml version="1.0" encoding="UTF-8" standalone="yes"?>
<Relationships xmlns="http://schemas.openxmlformats.org/package/2006/relationships"><Relationship Id="rId5" Type="http://schemas.microsoft.com/office/2011/relationships/chartColorStyle" Target="colors21.xml"/><Relationship Id="rId4" Type="http://schemas.microsoft.com/office/2011/relationships/chartStyle" Target="style21.xml"/><Relationship Id="rId3" Type="http://schemas.openxmlformats.org/officeDocument/2006/relationships/image" Target="../media/image1.png"/><Relationship Id="rId2" Type="http://schemas.openxmlformats.org/officeDocument/2006/relationships/themeOverride" Target="../theme/themeOverride21.xml"/><Relationship Id="rId1" Type="http://schemas.openxmlformats.org/officeDocument/2006/relationships/package" Target="../embeddings/Workbook21.xlsx"/></Relationships>
</file>

<file path=word/charts/_rels/chart17.xml.rels><?xml version="1.0" encoding="UTF-8" standalone="yes"?>
<Relationships xmlns="http://schemas.openxmlformats.org/package/2006/relationships"><Relationship Id="rId5" Type="http://schemas.microsoft.com/office/2011/relationships/chartColorStyle" Target="colors14.xml"/><Relationship Id="rId4" Type="http://schemas.microsoft.com/office/2011/relationships/chartStyle" Target="style14.xml"/><Relationship Id="rId3" Type="http://schemas.openxmlformats.org/officeDocument/2006/relationships/image" Target="../media/image1.png"/><Relationship Id="rId2" Type="http://schemas.openxmlformats.org/officeDocument/2006/relationships/themeOverride" Target="../theme/themeOverride14.xml"/><Relationship Id="rId1" Type="http://schemas.openxmlformats.org/officeDocument/2006/relationships/package" Target="../embeddings/Workbook14.xlsx"/></Relationships>
</file>

<file path=word/charts/_rels/chart18.xml.rels><?xml version="1.0" encoding="UTF-8" standalone="yes"?>
<Relationships xmlns="http://schemas.openxmlformats.org/package/2006/relationships"><Relationship Id="rId5" Type="http://schemas.microsoft.com/office/2011/relationships/chartColorStyle" Target="colors15.xml"/><Relationship Id="rId4" Type="http://schemas.microsoft.com/office/2011/relationships/chartStyle" Target="style15.xml"/><Relationship Id="rId3" Type="http://schemas.openxmlformats.org/officeDocument/2006/relationships/image" Target="../media/image1.png"/><Relationship Id="rId2" Type="http://schemas.openxmlformats.org/officeDocument/2006/relationships/themeOverride" Target="../theme/themeOverride15.xml"/><Relationship Id="rId1" Type="http://schemas.openxmlformats.org/officeDocument/2006/relationships/package" Target="../embeddings/Workbook15.xlsx"/></Relationships>
</file>

<file path=word/charts/_rels/chart19.xml.rels><?xml version="1.0" encoding="UTF-8" standalone="yes"?>
<Relationships xmlns="http://schemas.openxmlformats.org/package/2006/relationships"><Relationship Id="rId5" Type="http://schemas.microsoft.com/office/2011/relationships/chartColorStyle" Target="colors16.xml"/><Relationship Id="rId4" Type="http://schemas.microsoft.com/office/2011/relationships/chartStyle" Target="style16.xml"/><Relationship Id="rId3" Type="http://schemas.openxmlformats.org/officeDocument/2006/relationships/image" Target="../media/image1.png"/><Relationship Id="rId2" Type="http://schemas.openxmlformats.org/officeDocument/2006/relationships/themeOverride" Target="../theme/themeOverride16.xml"/><Relationship Id="rId1" Type="http://schemas.openxmlformats.org/officeDocument/2006/relationships/package" Target="../embeddings/Workbook16.xlsx"/></Relationships>
</file>

<file path=word/charts/_rels/chart2.xml.rels><?xml version="1.0" encoding="UTF-8" standalone="yes"?>
<Relationships xmlns="http://schemas.openxmlformats.org/package/2006/relationships"><Relationship Id="rId5" Type="http://schemas.microsoft.com/office/2011/relationships/chartColorStyle" Target="colors8.xml"/><Relationship Id="rId4" Type="http://schemas.microsoft.com/office/2011/relationships/chartStyle" Target="style8.xml"/><Relationship Id="rId3" Type="http://schemas.openxmlformats.org/officeDocument/2006/relationships/image" Target="../media/image1.png"/><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20.xml.rels><?xml version="1.0" encoding="UTF-8" standalone="yes"?>
<Relationships xmlns="http://schemas.openxmlformats.org/package/2006/relationships"><Relationship Id="rId5" Type="http://schemas.microsoft.com/office/2011/relationships/chartColorStyle" Target="colors19.xml"/><Relationship Id="rId4" Type="http://schemas.microsoft.com/office/2011/relationships/chartStyle" Target="style19.xml"/><Relationship Id="rId3" Type="http://schemas.openxmlformats.org/officeDocument/2006/relationships/image" Target="../media/image1.png"/><Relationship Id="rId2" Type="http://schemas.openxmlformats.org/officeDocument/2006/relationships/themeOverride" Target="../theme/themeOverride19.xml"/><Relationship Id="rId1" Type="http://schemas.openxmlformats.org/officeDocument/2006/relationships/package" Target="../embeddings/Workbook19.xlsx"/></Relationships>
</file>

<file path=word/charts/_rels/chart21.xml.rels><?xml version="1.0" encoding="UTF-8" standalone="yes"?>
<Relationships xmlns="http://schemas.openxmlformats.org/package/2006/relationships"><Relationship Id="rId5" Type="http://schemas.microsoft.com/office/2011/relationships/chartColorStyle" Target="colors17.xml"/><Relationship Id="rId4" Type="http://schemas.microsoft.com/office/2011/relationships/chartStyle" Target="style17.xml"/><Relationship Id="rId3" Type="http://schemas.openxmlformats.org/officeDocument/2006/relationships/image" Target="../media/image1.png"/><Relationship Id="rId2" Type="http://schemas.openxmlformats.org/officeDocument/2006/relationships/themeOverride" Target="../theme/themeOverride17.xml"/><Relationship Id="rId1" Type="http://schemas.openxmlformats.org/officeDocument/2006/relationships/package" Target="../embeddings/Workbook17.xlsx"/></Relationships>
</file>

<file path=word/charts/_rels/chart22.xml.rels><?xml version="1.0" encoding="UTF-8" standalone="yes"?>
<Relationships xmlns="http://schemas.openxmlformats.org/package/2006/relationships"><Relationship Id="rId5" Type="http://schemas.microsoft.com/office/2011/relationships/chartColorStyle" Target="colors22.xml"/><Relationship Id="rId4" Type="http://schemas.microsoft.com/office/2011/relationships/chartStyle" Target="style22.xml"/><Relationship Id="rId3" Type="http://schemas.openxmlformats.org/officeDocument/2006/relationships/image" Target="../media/image1.png"/><Relationship Id="rId2" Type="http://schemas.openxmlformats.org/officeDocument/2006/relationships/themeOverride" Target="../theme/themeOverride22.xml"/><Relationship Id="rId1" Type="http://schemas.openxmlformats.org/officeDocument/2006/relationships/package" Target="../embeddings/Workbook22.xlsx"/></Relationships>
</file>

<file path=word/charts/_rels/chart23.xml.rels><?xml version="1.0" encoding="UTF-8" standalone="yes"?>
<Relationships xmlns="http://schemas.openxmlformats.org/package/2006/relationships"><Relationship Id="rId5" Type="http://schemas.microsoft.com/office/2011/relationships/chartColorStyle" Target="colors35.xml"/><Relationship Id="rId4" Type="http://schemas.microsoft.com/office/2011/relationships/chartStyle" Target="style35.xml"/><Relationship Id="rId3" Type="http://schemas.openxmlformats.org/officeDocument/2006/relationships/image" Target="../media/image2.png"/><Relationship Id="rId2" Type="http://schemas.openxmlformats.org/officeDocument/2006/relationships/themeOverride" Target="../theme/themeOverride36.xml"/><Relationship Id="rId1" Type="http://schemas.openxmlformats.org/officeDocument/2006/relationships/package" Target="../embeddings/Workbook36.xlsx"/></Relationships>
</file>

<file path=word/charts/_rels/chart24.xml.rels><?xml version="1.0" encoding="UTF-8" standalone="yes"?>
<Relationships xmlns="http://schemas.openxmlformats.org/package/2006/relationships"><Relationship Id="rId5" Type="http://schemas.microsoft.com/office/2011/relationships/chartColorStyle" Target="colors27.xml"/><Relationship Id="rId4" Type="http://schemas.microsoft.com/office/2011/relationships/chartStyle" Target="style27.xml"/><Relationship Id="rId3" Type="http://schemas.openxmlformats.org/officeDocument/2006/relationships/image" Target="../media/image2.png"/><Relationship Id="rId2" Type="http://schemas.openxmlformats.org/officeDocument/2006/relationships/themeOverride" Target="../theme/themeOverride27.xml"/><Relationship Id="rId1" Type="http://schemas.openxmlformats.org/officeDocument/2006/relationships/package" Target="../embeddings/Workbook27.xlsx"/></Relationships>
</file>

<file path=word/charts/_rels/chart25.xml.rels><?xml version="1.0" encoding="UTF-8" standalone="yes"?>
<Relationships xmlns="http://schemas.openxmlformats.org/package/2006/relationships"><Relationship Id="rId5" Type="http://schemas.microsoft.com/office/2011/relationships/chartColorStyle" Target="colors32.xml"/><Relationship Id="rId4" Type="http://schemas.microsoft.com/office/2011/relationships/chartStyle" Target="style32.xml"/><Relationship Id="rId3" Type="http://schemas.openxmlformats.org/officeDocument/2006/relationships/image" Target="../media/image2.png"/><Relationship Id="rId2" Type="http://schemas.openxmlformats.org/officeDocument/2006/relationships/themeOverride" Target="../theme/themeOverride32.xml"/><Relationship Id="rId1" Type="http://schemas.openxmlformats.org/officeDocument/2006/relationships/package" Target="../embeddings/Workbook32.xlsx"/></Relationships>
</file>

<file path=word/charts/_rels/chart26.xml.rels><?xml version="1.0" encoding="UTF-8" standalone="yes"?>
<Relationships xmlns="http://schemas.openxmlformats.org/package/2006/relationships"><Relationship Id="rId5" Type="http://schemas.microsoft.com/office/2011/relationships/chartColorStyle" Target="colors30.xml"/><Relationship Id="rId4" Type="http://schemas.microsoft.com/office/2011/relationships/chartStyle" Target="style30.xml"/><Relationship Id="rId3" Type="http://schemas.openxmlformats.org/officeDocument/2006/relationships/image" Target="../media/image2.png"/><Relationship Id="rId2" Type="http://schemas.openxmlformats.org/officeDocument/2006/relationships/themeOverride" Target="../theme/themeOverride30.xml"/><Relationship Id="rId1" Type="http://schemas.openxmlformats.org/officeDocument/2006/relationships/package" Target="../embeddings/Workbook30.xlsx"/></Relationships>
</file>

<file path=word/charts/_rels/chart27.xml.rels><?xml version="1.0" encoding="UTF-8" standalone="yes"?>
<Relationships xmlns="http://schemas.openxmlformats.org/package/2006/relationships"><Relationship Id="rId5" Type="http://schemas.microsoft.com/office/2011/relationships/chartColorStyle" Target="colors29.xml"/><Relationship Id="rId4" Type="http://schemas.microsoft.com/office/2011/relationships/chartStyle" Target="style29.xml"/><Relationship Id="rId3" Type="http://schemas.openxmlformats.org/officeDocument/2006/relationships/image" Target="../media/image2.png"/><Relationship Id="rId2" Type="http://schemas.openxmlformats.org/officeDocument/2006/relationships/themeOverride" Target="../theme/themeOverride29.xml"/><Relationship Id="rId1" Type="http://schemas.openxmlformats.org/officeDocument/2006/relationships/package" Target="../embeddings/Workbook29.xlsx"/></Relationships>
</file>

<file path=word/charts/_rels/chart28.xml.rels><?xml version="1.0" encoding="UTF-8" standalone="yes"?>
<Relationships xmlns="http://schemas.openxmlformats.org/package/2006/relationships"><Relationship Id="rId5" Type="http://schemas.microsoft.com/office/2011/relationships/chartColorStyle" Target="colors31.xml"/><Relationship Id="rId4" Type="http://schemas.microsoft.com/office/2011/relationships/chartStyle" Target="style31.xml"/><Relationship Id="rId3" Type="http://schemas.openxmlformats.org/officeDocument/2006/relationships/image" Target="../media/image2.png"/><Relationship Id="rId2" Type="http://schemas.openxmlformats.org/officeDocument/2006/relationships/themeOverride" Target="../theme/themeOverride31.xml"/><Relationship Id="rId1" Type="http://schemas.openxmlformats.org/officeDocument/2006/relationships/package" Target="../embeddings/Workbook31.xlsx"/></Relationships>
</file>

<file path=word/charts/_rels/chart29.xml.rels><?xml version="1.0" encoding="UTF-8" standalone="yes"?>
<Relationships xmlns="http://schemas.openxmlformats.org/package/2006/relationships"><Relationship Id="rId5" Type="http://schemas.microsoft.com/office/2011/relationships/chartColorStyle" Target="colors26.xml"/><Relationship Id="rId4" Type="http://schemas.microsoft.com/office/2011/relationships/chartStyle" Target="style26.xml"/><Relationship Id="rId3" Type="http://schemas.openxmlformats.org/officeDocument/2006/relationships/image" Target="../media/image2.png"/><Relationship Id="rId2" Type="http://schemas.openxmlformats.org/officeDocument/2006/relationships/themeOverride" Target="../theme/themeOverride26.xml"/><Relationship Id="rId1" Type="http://schemas.openxmlformats.org/officeDocument/2006/relationships/package" Target="../embeddings/Workbook26.xlsx"/></Relationships>
</file>

<file path=word/charts/_rels/chart3.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1.png"/><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0.xml.rels><?xml version="1.0" encoding="UTF-8" standalone="yes"?>
<Relationships xmlns="http://schemas.openxmlformats.org/package/2006/relationships"><Relationship Id="rId5" Type="http://schemas.microsoft.com/office/2011/relationships/chartColorStyle" Target="colors33.xml"/><Relationship Id="rId4" Type="http://schemas.microsoft.com/office/2011/relationships/chartStyle" Target="style33.xml"/><Relationship Id="rId3" Type="http://schemas.openxmlformats.org/officeDocument/2006/relationships/image" Target="../media/image2.png"/><Relationship Id="rId2" Type="http://schemas.openxmlformats.org/officeDocument/2006/relationships/themeOverride" Target="../theme/themeOverride33.xml"/><Relationship Id="rId1" Type="http://schemas.openxmlformats.org/officeDocument/2006/relationships/package" Target="../embeddings/Workbook33.xlsx"/></Relationships>
</file>

<file path=word/charts/_rels/chart31.xml.rels><?xml version="1.0" encoding="UTF-8" standalone="yes"?>
<Relationships xmlns="http://schemas.openxmlformats.org/package/2006/relationships"><Relationship Id="rId5" Type="http://schemas.microsoft.com/office/2011/relationships/chartColorStyle" Target="colors34.xml"/><Relationship Id="rId4" Type="http://schemas.microsoft.com/office/2011/relationships/chartStyle" Target="style34.xml"/><Relationship Id="rId3" Type="http://schemas.openxmlformats.org/officeDocument/2006/relationships/image" Target="../media/image2.png"/><Relationship Id="rId2" Type="http://schemas.openxmlformats.org/officeDocument/2006/relationships/themeOverride" Target="../theme/themeOverride34.xml"/><Relationship Id="rId1" Type="http://schemas.openxmlformats.org/officeDocument/2006/relationships/package" Target="../embeddings/Workbook34.xlsx"/></Relationships>
</file>

<file path=word/charts/_rels/chart3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themeOverride" Target="../theme/themeOverride35.xml"/><Relationship Id="rId1" Type="http://schemas.openxmlformats.org/officeDocument/2006/relationships/package" Target="../embeddings/Workbook35.xlsx"/></Relationships>
</file>

<file path=word/charts/_rels/chart33.xml.rels><?xml version="1.0" encoding="UTF-8" standalone="yes"?>
<Relationships xmlns="http://schemas.openxmlformats.org/package/2006/relationships"><Relationship Id="rId5" Type="http://schemas.microsoft.com/office/2011/relationships/chartColorStyle" Target="colors23.xml"/><Relationship Id="rId4" Type="http://schemas.microsoft.com/office/2011/relationships/chartStyle" Target="style23.xml"/><Relationship Id="rId3" Type="http://schemas.openxmlformats.org/officeDocument/2006/relationships/image" Target="../media/image2.png"/><Relationship Id="rId2" Type="http://schemas.openxmlformats.org/officeDocument/2006/relationships/themeOverride" Target="../theme/themeOverride23.xml"/><Relationship Id="rId1" Type="http://schemas.openxmlformats.org/officeDocument/2006/relationships/package" Target="../embeddings/Workbook23.xlsx"/></Relationships>
</file>

<file path=word/charts/_rels/chart34.xml.rels><?xml version="1.0" encoding="UTF-8" standalone="yes"?>
<Relationships xmlns="http://schemas.openxmlformats.org/package/2006/relationships"><Relationship Id="rId5" Type="http://schemas.microsoft.com/office/2011/relationships/chartColorStyle" Target="colors24.xml"/><Relationship Id="rId4" Type="http://schemas.microsoft.com/office/2011/relationships/chartStyle" Target="style24.xml"/><Relationship Id="rId3" Type="http://schemas.openxmlformats.org/officeDocument/2006/relationships/image" Target="../media/image2.png"/><Relationship Id="rId2" Type="http://schemas.openxmlformats.org/officeDocument/2006/relationships/themeOverride" Target="../theme/themeOverride24.xml"/><Relationship Id="rId1" Type="http://schemas.openxmlformats.org/officeDocument/2006/relationships/package" Target="../embeddings/Workbook24.xlsx"/></Relationships>
</file>

<file path=word/charts/_rels/chart35.xml.rels><?xml version="1.0" encoding="UTF-8" standalone="yes"?>
<Relationships xmlns="http://schemas.openxmlformats.org/package/2006/relationships"><Relationship Id="rId5" Type="http://schemas.microsoft.com/office/2011/relationships/chartColorStyle" Target="colors25.xml"/><Relationship Id="rId4" Type="http://schemas.microsoft.com/office/2011/relationships/chartStyle" Target="style25.xml"/><Relationship Id="rId3" Type="http://schemas.openxmlformats.org/officeDocument/2006/relationships/image" Target="../media/image2.png"/><Relationship Id="rId2" Type="http://schemas.openxmlformats.org/officeDocument/2006/relationships/themeOverride" Target="../theme/themeOverride25.xml"/><Relationship Id="rId1" Type="http://schemas.openxmlformats.org/officeDocument/2006/relationships/package" Target="../embeddings/Workbook25.xlsx"/></Relationships>
</file>

<file path=word/charts/_rels/chart36.xml.rels><?xml version="1.0" encoding="UTF-8" standalone="yes"?>
<Relationships xmlns="http://schemas.openxmlformats.org/package/2006/relationships"><Relationship Id="rId5" Type="http://schemas.microsoft.com/office/2011/relationships/chartColorStyle" Target="colors28.xml"/><Relationship Id="rId4" Type="http://schemas.microsoft.com/office/2011/relationships/chartStyle" Target="style28.xml"/><Relationship Id="rId3" Type="http://schemas.openxmlformats.org/officeDocument/2006/relationships/image" Target="../media/image2.png"/><Relationship Id="rId2" Type="http://schemas.openxmlformats.org/officeDocument/2006/relationships/themeOverride" Target="../theme/themeOverride28.xml"/><Relationship Id="rId1" Type="http://schemas.openxmlformats.org/officeDocument/2006/relationships/package" Target="../embeddings/Workbook28.xlsx"/></Relationships>
</file>

<file path=word/charts/_rels/chart37.xml.rels><?xml version="1.0" encoding="UTF-8" standalone="yes"?>
<Relationships xmlns="http://schemas.openxmlformats.org/package/2006/relationships"><Relationship Id="rId5" Type="http://schemas.microsoft.com/office/2011/relationships/chartColorStyle" Target="colors36.xml"/><Relationship Id="rId4" Type="http://schemas.microsoft.com/office/2011/relationships/chartStyle" Target="style36.xml"/><Relationship Id="rId3" Type="http://schemas.openxmlformats.org/officeDocument/2006/relationships/image" Target="../media/image2.png"/><Relationship Id="rId2" Type="http://schemas.openxmlformats.org/officeDocument/2006/relationships/themeOverride" Target="../theme/themeOverride37.xml"/><Relationship Id="rId1" Type="http://schemas.openxmlformats.org/officeDocument/2006/relationships/package" Target="../embeddings/Workbook37.xlsx"/></Relationships>
</file>

<file path=word/charts/_rels/chart38.xml.rels><?xml version="1.0" encoding="UTF-8" standalone="yes"?>
<Relationships xmlns="http://schemas.openxmlformats.org/package/2006/relationships"><Relationship Id="rId5" Type="http://schemas.microsoft.com/office/2011/relationships/chartColorStyle" Target="colors50.xml"/><Relationship Id="rId4" Type="http://schemas.microsoft.com/office/2011/relationships/chartStyle" Target="style50.xml"/><Relationship Id="rId3" Type="http://schemas.openxmlformats.org/officeDocument/2006/relationships/image" Target="../media/image2.png"/><Relationship Id="rId2" Type="http://schemas.openxmlformats.org/officeDocument/2006/relationships/themeOverride" Target="../theme/themeOverride51.xml"/><Relationship Id="rId1" Type="http://schemas.openxmlformats.org/officeDocument/2006/relationships/package" Target="../embeddings/Workbook51.xlsx"/></Relationships>
</file>

<file path=word/charts/_rels/chart39.xml.rels><?xml version="1.0" encoding="UTF-8" standalone="yes"?>
<Relationships xmlns="http://schemas.openxmlformats.org/package/2006/relationships"><Relationship Id="rId5" Type="http://schemas.microsoft.com/office/2011/relationships/chartColorStyle" Target="colors42.xml"/><Relationship Id="rId4" Type="http://schemas.microsoft.com/office/2011/relationships/chartStyle" Target="style42.xml"/><Relationship Id="rId3" Type="http://schemas.openxmlformats.org/officeDocument/2006/relationships/image" Target="../media/image2.png"/><Relationship Id="rId2" Type="http://schemas.openxmlformats.org/officeDocument/2006/relationships/themeOverride" Target="../theme/themeOverride43.xml"/><Relationship Id="rId1" Type="http://schemas.openxmlformats.org/officeDocument/2006/relationships/package" Target="../embeddings/Workbook43.xlsx"/></Relationships>
</file>

<file path=word/charts/_rels/chart4.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1.png"/><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40.xml.rels><?xml version="1.0" encoding="UTF-8" standalone="yes"?>
<Relationships xmlns="http://schemas.openxmlformats.org/package/2006/relationships"><Relationship Id="rId5" Type="http://schemas.microsoft.com/office/2011/relationships/chartColorStyle" Target="colors51.xml"/><Relationship Id="rId4" Type="http://schemas.microsoft.com/office/2011/relationships/chartStyle" Target="style51.xml"/><Relationship Id="rId3" Type="http://schemas.openxmlformats.org/officeDocument/2006/relationships/image" Target="../media/image2.png"/><Relationship Id="rId2" Type="http://schemas.openxmlformats.org/officeDocument/2006/relationships/themeOverride" Target="../theme/themeOverride52.xml"/><Relationship Id="rId1" Type="http://schemas.openxmlformats.org/officeDocument/2006/relationships/package" Target="../embeddings/Workbook52.xlsx"/></Relationships>
</file>

<file path=word/charts/_rels/chart41.xml.rels><?xml version="1.0" encoding="UTF-8" standalone="yes"?>
<Relationships xmlns="http://schemas.openxmlformats.org/package/2006/relationships"><Relationship Id="rId5" Type="http://schemas.microsoft.com/office/2011/relationships/chartColorStyle" Target="colors41.xml"/><Relationship Id="rId4" Type="http://schemas.microsoft.com/office/2011/relationships/chartStyle" Target="style41.xml"/><Relationship Id="rId3" Type="http://schemas.openxmlformats.org/officeDocument/2006/relationships/image" Target="../media/image2.png"/><Relationship Id="rId2" Type="http://schemas.openxmlformats.org/officeDocument/2006/relationships/themeOverride" Target="../theme/themeOverride42.xml"/><Relationship Id="rId1" Type="http://schemas.openxmlformats.org/officeDocument/2006/relationships/package" Target="../embeddings/Workbook42.xlsx"/></Relationships>
</file>

<file path=word/charts/_rels/chart42.xml.rels><?xml version="1.0" encoding="UTF-8" standalone="yes"?>
<Relationships xmlns="http://schemas.openxmlformats.org/package/2006/relationships"><Relationship Id="rId5" Type="http://schemas.microsoft.com/office/2011/relationships/chartColorStyle" Target="colors40.xml"/><Relationship Id="rId4" Type="http://schemas.microsoft.com/office/2011/relationships/chartStyle" Target="style40.xml"/><Relationship Id="rId3" Type="http://schemas.openxmlformats.org/officeDocument/2006/relationships/image" Target="../media/image2.png"/><Relationship Id="rId2" Type="http://schemas.openxmlformats.org/officeDocument/2006/relationships/themeOverride" Target="../theme/themeOverride41.xml"/><Relationship Id="rId1" Type="http://schemas.openxmlformats.org/officeDocument/2006/relationships/package" Target="../embeddings/Workbook41.xlsx"/></Relationships>
</file>

<file path=word/charts/_rels/chart43.xml.rels><?xml version="1.0" encoding="UTF-8" standalone="yes"?>
<Relationships xmlns="http://schemas.openxmlformats.org/package/2006/relationships"><Relationship Id="rId5" Type="http://schemas.microsoft.com/office/2011/relationships/chartColorStyle" Target="colors44.xml"/><Relationship Id="rId4" Type="http://schemas.microsoft.com/office/2011/relationships/chartStyle" Target="style44.xml"/><Relationship Id="rId3" Type="http://schemas.openxmlformats.org/officeDocument/2006/relationships/image" Target="../media/image2.png"/><Relationship Id="rId2" Type="http://schemas.openxmlformats.org/officeDocument/2006/relationships/themeOverride" Target="../theme/themeOverride45.xml"/><Relationship Id="rId1" Type="http://schemas.openxmlformats.org/officeDocument/2006/relationships/package" Target="../embeddings/Workbook45.xlsx"/></Relationships>
</file>

<file path=word/charts/_rels/chart44.xml.rels><?xml version="1.0" encoding="UTF-8" standalone="yes"?>
<Relationships xmlns="http://schemas.openxmlformats.org/package/2006/relationships"><Relationship Id="rId5" Type="http://schemas.microsoft.com/office/2011/relationships/chartColorStyle" Target="colors48.xml"/><Relationship Id="rId4" Type="http://schemas.microsoft.com/office/2011/relationships/chartStyle" Target="style48.xml"/><Relationship Id="rId3" Type="http://schemas.openxmlformats.org/officeDocument/2006/relationships/image" Target="../media/image2.png"/><Relationship Id="rId2" Type="http://schemas.openxmlformats.org/officeDocument/2006/relationships/themeOverride" Target="../theme/themeOverride49.xml"/><Relationship Id="rId1" Type="http://schemas.openxmlformats.org/officeDocument/2006/relationships/package" Target="../embeddings/Workbook49.xlsx"/></Relationships>
</file>

<file path=word/charts/_rels/chart45.xml.rels><?xml version="1.0" encoding="UTF-8" standalone="yes"?>
<Relationships xmlns="http://schemas.openxmlformats.org/package/2006/relationships"><Relationship Id="rId5" Type="http://schemas.microsoft.com/office/2011/relationships/chartColorStyle" Target="colors45.xml"/><Relationship Id="rId4" Type="http://schemas.microsoft.com/office/2011/relationships/chartStyle" Target="style45.xml"/><Relationship Id="rId3" Type="http://schemas.openxmlformats.org/officeDocument/2006/relationships/image" Target="../media/image2.png"/><Relationship Id="rId2" Type="http://schemas.openxmlformats.org/officeDocument/2006/relationships/themeOverride" Target="../theme/themeOverride46.xml"/><Relationship Id="rId1" Type="http://schemas.openxmlformats.org/officeDocument/2006/relationships/package" Target="../embeddings/Workbook46.xlsx"/></Relationships>
</file>

<file path=word/charts/_rels/chart46.xml.rels><?xml version="1.0" encoding="UTF-8" standalone="yes"?>
<Relationships xmlns="http://schemas.openxmlformats.org/package/2006/relationships"><Relationship Id="rId5" Type="http://schemas.microsoft.com/office/2011/relationships/chartColorStyle" Target="colors46.xml"/><Relationship Id="rId4" Type="http://schemas.microsoft.com/office/2011/relationships/chartStyle" Target="style46.xml"/><Relationship Id="rId3" Type="http://schemas.openxmlformats.org/officeDocument/2006/relationships/image" Target="../media/image2.png"/><Relationship Id="rId2" Type="http://schemas.openxmlformats.org/officeDocument/2006/relationships/themeOverride" Target="../theme/themeOverride47.xml"/><Relationship Id="rId1" Type="http://schemas.openxmlformats.org/officeDocument/2006/relationships/package" Target="../embeddings/Workbook47.xlsx"/></Relationships>
</file>

<file path=word/charts/_rels/chart47.xml.rels><?xml version="1.0" encoding="UTF-8" standalone="yes"?>
<Relationships xmlns="http://schemas.openxmlformats.org/package/2006/relationships"><Relationship Id="rId5" Type="http://schemas.microsoft.com/office/2011/relationships/chartColorStyle" Target="colors43.xml"/><Relationship Id="rId4" Type="http://schemas.microsoft.com/office/2011/relationships/chartStyle" Target="style43.xml"/><Relationship Id="rId3" Type="http://schemas.openxmlformats.org/officeDocument/2006/relationships/image" Target="../media/image2.png"/><Relationship Id="rId2" Type="http://schemas.openxmlformats.org/officeDocument/2006/relationships/themeOverride" Target="../theme/themeOverride44.xml"/><Relationship Id="rId1" Type="http://schemas.openxmlformats.org/officeDocument/2006/relationships/package" Target="../embeddings/Workbook44.xlsx"/></Relationships>
</file>

<file path=word/charts/_rels/chart48.xml.rels><?xml version="1.0" encoding="UTF-8" standalone="yes"?>
<Relationships xmlns="http://schemas.openxmlformats.org/package/2006/relationships"><Relationship Id="rId5" Type="http://schemas.microsoft.com/office/2011/relationships/chartColorStyle" Target="colors47.xml"/><Relationship Id="rId4" Type="http://schemas.microsoft.com/office/2011/relationships/chartStyle" Target="style47.xml"/><Relationship Id="rId3" Type="http://schemas.openxmlformats.org/officeDocument/2006/relationships/image" Target="../media/image2.png"/><Relationship Id="rId2" Type="http://schemas.openxmlformats.org/officeDocument/2006/relationships/themeOverride" Target="../theme/themeOverride48.xml"/><Relationship Id="rId1" Type="http://schemas.openxmlformats.org/officeDocument/2006/relationships/package" Target="../embeddings/Workbook48.xlsx"/></Relationships>
</file>

<file path=word/charts/_rels/chart49.xml.rels><?xml version="1.0" encoding="UTF-8" standalone="yes"?>
<Relationships xmlns="http://schemas.openxmlformats.org/package/2006/relationships"><Relationship Id="rId5" Type="http://schemas.microsoft.com/office/2011/relationships/chartColorStyle" Target="colors49.xml"/><Relationship Id="rId4" Type="http://schemas.microsoft.com/office/2011/relationships/chartStyle" Target="style49.xml"/><Relationship Id="rId3" Type="http://schemas.openxmlformats.org/officeDocument/2006/relationships/image" Target="../media/image2.png"/><Relationship Id="rId2" Type="http://schemas.openxmlformats.org/officeDocument/2006/relationships/themeOverride" Target="../theme/themeOverride50.xml"/><Relationship Id="rId1" Type="http://schemas.openxmlformats.org/officeDocument/2006/relationships/package" Target="../embeddings/Workbook50.xlsx"/></Relationships>
</file>

<file path=word/charts/_rels/chart5.xml.rels><?xml version="1.0" encoding="UTF-8" standalone="yes"?>
<Relationships xmlns="http://schemas.openxmlformats.org/package/2006/relationships"><Relationship Id="rId5" Type="http://schemas.microsoft.com/office/2011/relationships/chartColorStyle" Target="colors9.xml"/><Relationship Id="rId4" Type="http://schemas.microsoft.com/office/2011/relationships/chartStyle" Target="style9.xml"/><Relationship Id="rId3" Type="http://schemas.openxmlformats.org/officeDocument/2006/relationships/image" Target="../media/image1.png"/><Relationship Id="rId2" Type="http://schemas.openxmlformats.org/officeDocument/2006/relationships/themeOverride" Target="../theme/themeOverride9.xml"/><Relationship Id="rId1" Type="http://schemas.openxmlformats.org/officeDocument/2006/relationships/package" Target="../embeddings/Workbook9.xlsx"/></Relationships>
</file>

<file path=word/charts/_rels/chart50.xml.rels><?xml version="1.0" encoding="UTF-8" standalone="yes"?>
<Relationships xmlns="http://schemas.openxmlformats.org/package/2006/relationships"><Relationship Id="rId5" Type="http://schemas.microsoft.com/office/2011/relationships/chartColorStyle" Target="colors52.xml"/><Relationship Id="rId4" Type="http://schemas.microsoft.com/office/2011/relationships/chartStyle" Target="style52.xml"/><Relationship Id="rId3" Type="http://schemas.openxmlformats.org/officeDocument/2006/relationships/image" Target="../media/image2.png"/><Relationship Id="rId2" Type="http://schemas.openxmlformats.org/officeDocument/2006/relationships/themeOverride" Target="../theme/themeOverride53.xml"/><Relationship Id="rId1" Type="http://schemas.openxmlformats.org/officeDocument/2006/relationships/package" Target="../embeddings/Workbook53.xlsx"/></Relationships>
</file>

<file path=word/charts/_rels/chart51.xml.rels><?xml version="1.0" encoding="UTF-8" standalone="yes"?>
<Relationships xmlns="http://schemas.openxmlformats.org/package/2006/relationships"><Relationship Id="rId5" Type="http://schemas.microsoft.com/office/2011/relationships/chartColorStyle" Target="colors37.xml"/><Relationship Id="rId4" Type="http://schemas.microsoft.com/office/2011/relationships/chartStyle" Target="style37.xml"/><Relationship Id="rId3" Type="http://schemas.openxmlformats.org/officeDocument/2006/relationships/image" Target="../media/image2.png"/><Relationship Id="rId2" Type="http://schemas.openxmlformats.org/officeDocument/2006/relationships/themeOverride" Target="../theme/themeOverride38.xml"/><Relationship Id="rId1" Type="http://schemas.openxmlformats.org/officeDocument/2006/relationships/package" Target="../embeddings/Workbook38.xlsx"/></Relationships>
</file>

<file path=word/charts/_rels/chart52.xml.rels><?xml version="1.0" encoding="UTF-8" standalone="yes"?>
<Relationships xmlns="http://schemas.openxmlformats.org/package/2006/relationships"><Relationship Id="rId5" Type="http://schemas.microsoft.com/office/2011/relationships/chartColorStyle" Target="colors100.xml"/><Relationship Id="rId4" Type="http://schemas.microsoft.com/office/2011/relationships/chartStyle" Target="style100.xml"/><Relationship Id="rId3" Type="http://schemas.openxmlformats.org/officeDocument/2006/relationships/image" Target="../media/image2.png"/><Relationship Id="rId2" Type="http://schemas.openxmlformats.org/officeDocument/2006/relationships/themeOverride" Target="../theme/themeOverride103.xml"/><Relationship Id="rId1" Type="http://schemas.openxmlformats.org/officeDocument/2006/relationships/package" Target="../embeddings/Workbook103.xlsx"/></Relationships>
</file>

<file path=word/charts/_rels/chart53.xml.rels><?xml version="1.0" encoding="UTF-8" standalone="yes"?>
<Relationships xmlns="http://schemas.openxmlformats.org/package/2006/relationships"><Relationship Id="rId5" Type="http://schemas.microsoft.com/office/2011/relationships/chartColorStyle" Target="colors39.xml"/><Relationship Id="rId4" Type="http://schemas.microsoft.com/office/2011/relationships/chartStyle" Target="style39.xml"/><Relationship Id="rId3" Type="http://schemas.openxmlformats.org/officeDocument/2006/relationships/image" Target="../media/image2.png"/><Relationship Id="rId2" Type="http://schemas.openxmlformats.org/officeDocument/2006/relationships/themeOverride" Target="../theme/themeOverride40.xml"/><Relationship Id="rId1" Type="http://schemas.openxmlformats.org/officeDocument/2006/relationships/package" Target="../embeddings/Workbook40.xlsx"/></Relationships>
</file>

<file path=word/charts/_rels/chart54.xml.rels><?xml version="1.0" encoding="UTF-8" standalone="yes"?>
<Relationships xmlns="http://schemas.openxmlformats.org/package/2006/relationships"><Relationship Id="rId5" Type="http://schemas.microsoft.com/office/2011/relationships/chartColorStyle" Target="colors38.xml"/><Relationship Id="rId4" Type="http://schemas.microsoft.com/office/2011/relationships/chartStyle" Target="style38.xml"/><Relationship Id="rId3" Type="http://schemas.openxmlformats.org/officeDocument/2006/relationships/image" Target="../media/image2.png"/><Relationship Id="rId2" Type="http://schemas.openxmlformats.org/officeDocument/2006/relationships/themeOverride" Target="../theme/themeOverride39.xml"/><Relationship Id="rId1" Type="http://schemas.openxmlformats.org/officeDocument/2006/relationships/package" Target="../embeddings/Workbook39.xlsx"/></Relationships>
</file>

<file path=word/charts/_rels/chart5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themeOverride" Target="../theme/themeOverride88.xml"/><Relationship Id="rId1" Type="http://schemas.openxmlformats.org/officeDocument/2006/relationships/package" Target="../embeddings/Workbook88.xlsx"/></Relationships>
</file>

<file path=word/charts/_rels/chart56.xml.rels><?xml version="1.0" encoding="UTF-8" standalone="yes"?>
<Relationships xmlns="http://schemas.openxmlformats.org/package/2006/relationships"><Relationship Id="rId5" Type="http://schemas.microsoft.com/office/2011/relationships/chartColorStyle" Target="colors76.xml"/><Relationship Id="rId4" Type="http://schemas.microsoft.com/office/2011/relationships/chartStyle" Target="style76.xml"/><Relationship Id="rId3" Type="http://schemas.openxmlformats.org/officeDocument/2006/relationships/image" Target="../media/image2.png"/><Relationship Id="rId2" Type="http://schemas.openxmlformats.org/officeDocument/2006/relationships/themeOverride" Target="../theme/themeOverride77.xml"/><Relationship Id="rId1" Type="http://schemas.openxmlformats.org/officeDocument/2006/relationships/package" Target="../embeddings/Workbook77.xlsx"/></Relationships>
</file>

<file path=word/charts/_rels/chart5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themeOverride" Target="../theme/themeOverride82.xml"/><Relationship Id="rId1" Type="http://schemas.openxmlformats.org/officeDocument/2006/relationships/package" Target="../embeddings/Workbook82.xlsx"/></Relationships>
</file>

<file path=word/charts/_rels/chart58.xml.rels><?xml version="1.0" encoding="UTF-8" standalone="yes"?>
<Relationships xmlns="http://schemas.openxmlformats.org/package/2006/relationships"><Relationship Id="rId5" Type="http://schemas.microsoft.com/office/2011/relationships/chartColorStyle" Target="colors75.xml"/><Relationship Id="rId4" Type="http://schemas.microsoft.com/office/2011/relationships/chartStyle" Target="style75.xml"/><Relationship Id="rId3" Type="http://schemas.openxmlformats.org/officeDocument/2006/relationships/image" Target="../media/image2.png"/><Relationship Id="rId2" Type="http://schemas.openxmlformats.org/officeDocument/2006/relationships/themeOverride" Target="../theme/themeOverride76.xml"/><Relationship Id="rId1" Type="http://schemas.openxmlformats.org/officeDocument/2006/relationships/package" Target="../embeddings/Workbook76.xlsx"/></Relationships>
</file>

<file path=word/charts/_rels/chart59.xml.rels><?xml version="1.0" encoding="UTF-8" standalone="yes"?>
<Relationships xmlns="http://schemas.openxmlformats.org/package/2006/relationships"><Relationship Id="rId5" Type="http://schemas.microsoft.com/office/2011/relationships/chartColorStyle" Target="colors81.xml"/><Relationship Id="rId4" Type="http://schemas.microsoft.com/office/2011/relationships/chartStyle" Target="style81.xml"/><Relationship Id="rId3" Type="http://schemas.openxmlformats.org/officeDocument/2006/relationships/image" Target="../media/image2.png"/><Relationship Id="rId2" Type="http://schemas.openxmlformats.org/officeDocument/2006/relationships/themeOverride" Target="../theme/themeOverride83.xml"/><Relationship Id="rId1" Type="http://schemas.openxmlformats.org/officeDocument/2006/relationships/package" Target="../embeddings/Workbook83.xlsx"/></Relationships>
</file>

<file path=word/charts/_rels/chart6.xml.rels><?xml version="1.0" encoding="UTF-8" standalone="yes"?>
<Relationships xmlns="http://schemas.openxmlformats.org/package/2006/relationships"><Relationship Id="rId5" Type="http://schemas.microsoft.com/office/2011/relationships/chartColorStyle" Target="colors7.xml"/><Relationship Id="rId4" Type="http://schemas.microsoft.com/office/2011/relationships/chartStyle" Target="style7.xml"/><Relationship Id="rId3" Type="http://schemas.openxmlformats.org/officeDocument/2006/relationships/image" Target="../media/image1.png"/><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60.xml.rels><?xml version="1.0" encoding="UTF-8" standalone="yes"?>
<Relationships xmlns="http://schemas.openxmlformats.org/package/2006/relationships"><Relationship Id="rId5" Type="http://schemas.microsoft.com/office/2011/relationships/chartColorStyle" Target="colors79.xml"/><Relationship Id="rId4" Type="http://schemas.microsoft.com/office/2011/relationships/chartStyle" Target="style79.xml"/><Relationship Id="rId3" Type="http://schemas.openxmlformats.org/officeDocument/2006/relationships/image" Target="../media/image2.png"/><Relationship Id="rId2" Type="http://schemas.openxmlformats.org/officeDocument/2006/relationships/themeOverride" Target="../theme/themeOverride80.xml"/><Relationship Id="rId1" Type="http://schemas.openxmlformats.org/officeDocument/2006/relationships/package" Target="../embeddings/Workbook80.xlsx"/></Relationships>
</file>

<file path=word/charts/_rels/chart61.xml.rels><?xml version="1.0" encoding="UTF-8" standalone="yes"?>
<Relationships xmlns="http://schemas.openxmlformats.org/package/2006/relationships"><Relationship Id="rId5" Type="http://schemas.microsoft.com/office/2011/relationships/chartColorStyle" Target="colors77.xml"/><Relationship Id="rId4" Type="http://schemas.microsoft.com/office/2011/relationships/chartStyle" Target="style77.xml"/><Relationship Id="rId3" Type="http://schemas.openxmlformats.org/officeDocument/2006/relationships/image" Target="../media/image2.png"/><Relationship Id="rId2" Type="http://schemas.openxmlformats.org/officeDocument/2006/relationships/themeOverride" Target="../theme/themeOverride78.xml"/><Relationship Id="rId1" Type="http://schemas.openxmlformats.org/officeDocument/2006/relationships/package" Target="../embeddings/Workbook78.xlsx"/></Relationships>
</file>

<file path=word/charts/_rels/chart62.xml.rels><?xml version="1.0" encoding="UTF-8" standalone="yes"?>
<Relationships xmlns="http://schemas.openxmlformats.org/package/2006/relationships"><Relationship Id="rId5" Type="http://schemas.microsoft.com/office/2011/relationships/chartColorStyle" Target="colors84.xml"/><Relationship Id="rId4" Type="http://schemas.microsoft.com/office/2011/relationships/chartStyle" Target="style84.xml"/><Relationship Id="rId3" Type="http://schemas.openxmlformats.org/officeDocument/2006/relationships/image" Target="../media/image2.png"/><Relationship Id="rId2" Type="http://schemas.openxmlformats.org/officeDocument/2006/relationships/themeOverride" Target="../theme/themeOverride86.xml"/><Relationship Id="rId1" Type="http://schemas.openxmlformats.org/officeDocument/2006/relationships/package" Target="../embeddings/Workbook86.xlsx"/></Relationships>
</file>

<file path=word/charts/_rels/chart63.xml.rels><?xml version="1.0" encoding="UTF-8" standalone="yes"?>
<Relationships xmlns="http://schemas.openxmlformats.org/package/2006/relationships"><Relationship Id="rId5" Type="http://schemas.microsoft.com/office/2011/relationships/chartColorStyle" Target="colors66.xml"/><Relationship Id="rId4" Type="http://schemas.microsoft.com/office/2011/relationships/chartStyle" Target="style66.xml"/><Relationship Id="rId3" Type="http://schemas.openxmlformats.org/officeDocument/2006/relationships/image" Target="../media/image2.png"/><Relationship Id="rId2" Type="http://schemas.openxmlformats.org/officeDocument/2006/relationships/themeOverride" Target="../theme/themeOverride67.xml"/><Relationship Id="rId1" Type="http://schemas.openxmlformats.org/officeDocument/2006/relationships/package" Target="../embeddings/Workbook67.xlsx"/></Relationships>
</file>

<file path=word/charts/_rels/chart64.xml.rels><?xml version="1.0" encoding="UTF-8" standalone="yes"?>
<Relationships xmlns="http://schemas.openxmlformats.org/package/2006/relationships"><Relationship Id="rId5" Type="http://schemas.microsoft.com/office/2011/relationships/chartColorStyle" Target="colors82.xml"/><Relationship Id="rId4" Type="http://schemas.microsoft.com/office/2011/relationships/chartStyle" Target="style82.xml"/><Relationship Id="rId3" Type="http://schemas.openxmlformats.org/officeDocument/2006/relationships/image" Target="../media/image2.png"/><Relationship Id="rId2" Type="http://schemas.openxmlformats.org/officeDocument/2006/relationships/themeOverride" Target="../theme/themeOverride84.xml"/><Relationship Id="rId1" Type="http://schemas.openxmlformats.org/officeDocument/2006/relationships/package" Target="../embeddings/Workbook84.xlsx"/></Relationships>
</file>

<file path=word/charts/_rels/chart65.xml.rels><?xml version="1.0" encoding="UTF-8" standalone="yes"?>
<Relationships xmlns="http://schemas.openxmlformats.org/package/2006/relationships"><Relationship Id="rId5" Type="http://schemas.microsoft.com/office/2011/relationships/chartColorStyle" Target="colors83.xml"/><Relationship Id="rId4" Type="http://schemas.microsoft.com/office/2011/relationships/chartStyle" Target="style83.xml"/><Relationship Id="rId3" Type="http://schemas.openxmlformats.org/officeDocument/2006/relationships/image" Target="../media/image2.png"/><Relationship Id="rId2" Type="http://schemas.openxmlformats.org/officeDocument/2006/relationships/themeOverride" Target="../theme/themeOverride85.xml"/><Relationship Id="rId1" Type="http://schemas.openxmlformats.org/officeDocument/2006/relationships/package" Target="../embeddings/Workbook85.xlsx"/></Relationships>
</file>

<file path=word/charts/_rels/chart66.xml.rels><?xml version="1.0" encoding="UTF-8" standalone="yes"?>
<Relationships xmlns="http://schemas.openxmlformats.org/package/2006/relationships"><Relationship Id="rId5" Type="http://schemas.microsoft.com/office/2011/relationships/chartColorStyle" Target="colors86.xml"/><Relationship Id="rId4" Type="http://schemas.microsoft.com/office/2011/relationships/chartStyle" Target="style86.xml"/><Relationship Id="rId3" Type="http://schemas.openxmlformats.org/officeDocument/2006/relationships/image" Target="../media/image2.png"/><Relationship Id="rId2" Type="http://schemas.openxmlformats.org/officeDocument/2006/relationships/themeOverride" Target="../theme/themeOverride89.xml"/><Relationship Id="rId1" Type="http://schemas.openxmlformats.org/officeDocument/2006/relationships/package" Target="../embeddings/Workbook89.xlsx"/></Relationships>
</file>

<file path=word/charts/_rels/chart67.xml.rels><?xml version="1.0" encoding="UTF-8" standalone="yes"?>
<Relationships xmlns="http://schemas.openxmlformats.org/package/2006/relationships"><Relationship Id="rId5" Type="http://schemas.microsoft.com/office/2011/relationships/chartColorStyle" Target="colors85.xml"/><Relationship Id="rId4" Type="http://schemas.microsoft.com/office/2011/relationships/chartStyle" Target="style85.xml"/><Relationship Id="rId3" Type="http://schemas.openxmlformats.org/officeDocument/2006/relationships/image" Target="../media/image2.png"/><Relationship Id="rId2" Type="http://schemas.openxmlformats.org/officeDocument/2006/relationships/themeOverride" Target="../theme/themeOverride87.xml"/><Relationship Id="rId1" Type="http://schemas.openxmlformats.org/officeDocument/2006/relationships/package" Target="../embeddings/Workbook87.xlsx"/></Relationships>
</file>

<file path=word/charts/_rels/chart68.xml.rels><?xml version="1.0" encoding="UTF-8" standalone="yes"?>
<Relationships xmlns="http://schemas.openxmlformats.org/package/2006/relationships"><Relationship Id="rId5" Type="http://schemas.microsoft.com/office/2011/relationships/chartColorStyle" Target="colors87.xml"/><Relationship Id="rId4" Type="http://schemas.microsoft.com/office/2011/relationships/chartStyle" Target="style87.xml"/><Relationship Id="rId3" Type="http://schemas.openxmlformats.org/officeDocument/2006/relationships/image" Target="../media/image2.png"/><Relationship Id="rId2" Type="http://schemas.openxmlformats.org/officeDocument/2006/relationships/themeOverride" Target="../theme/themeOverride90.xml"/><Relationship Id="rId1" Type="http://schemas.openxmlformats.org/officeDocument/2006/relationships/package" Target="../embeddings/Workbook90.xlsx"/></Relationships>
</file>

<file path=word/charts/_rels/chart69.xml.rels><?xml version="1.0" encoding="UTF-8" standalone="yes"?>
<Relationships xmlns="http://schemas.openxmlformats.org/package/2006/relationships"><Relationship Id="rId5" Type="http://schemas.microsoft.com/office/2011/relationships/chartColorStyle" Target="colors78.xml"/><Relationship Id="rId4" Type="http://schemas.microsoft.com/office/2011/relationships/chartStyle" Target="style78.xml"/><Relationship Id="rId3" Type="http://schemas.openxmlformats.org/officeDocument/2006/relationships/image" Target="../media/image2.png"/><Relationship Id="rId2" Type="http://schemas.openxmlformats.org/officeDocument/2006/relationships/themeOverride" Target="../theme/themeOverride79.xml"/><Relationship Id="rId1" Type="http://schemas.openxmlformats.org/officeDocument/2006/relationships/package" Target="../embeddings/Workbook79.xlsx"/></Relationships>
</file>

<file path=word/charts/_rels/chart7.xml.rels><?xml version="1.0" encoding="UTF-8" standalone="yes"?>
<Relationships xmlns="http://schemas.openxmlformats.org/package/2006/relationships"><Relationship Id="rId5" Type="http://schemas.microsoft.com/office/2011/relationships/chartColorStyle" Target="colors4.xml"/><Relationship Id="rId4" Type="http://schemas.microsoft.com/office/2011/relationships/chartStyle" Target="style4.xml"/><Relationship Id="rId3" Type="http://schemas.openxmlformats.org/officeDocument/2006/relationships/image" Target="../media/image1.png"/><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70.xml.rels><?xml version="1.0" encoding="UTF-8" standalone="yes"?>
<Relationships xmlns="http://schemas.openxmlformats.org/package/2006/relationships"><Relationship Id="rId5" Type="http://schemas.microsoft.com/office/2011/relationships/chartColorStyle" Target="colors88.xml"/><Relationship Id="rId4" Type="http://schemas.microsoft.com/office/2011/relationships/chartStyle" Target="style88.xml"/><Relationship Id="rId3" Type="http://schemas.openxmlformats.org/officeDocument/2006/relationships/image" Target="../media/image2.png"/><Relationship Id="rId2" Type="http://schemas.openxmlformats.org/officeDocument/2006/relationships/themeOverride" Target="../theme/themeOverride91.xml"/><Relationship Id="rId1" Type="http://schemas.openxmlformats.org/officeDocument/2006/relationships/package" Target="../embeddings/Workbook91.xlsx"/></Relationships>
</file>

<file path=word/charts/_rels/chart71.xml.rels><?xml version="1.0" encoding="UTF-8" standalone="yes"?>
<Relationships xmlns="http://schemas.openxmlformats.org/package/2006/relationships"><Relationship Id="rId5" Type="http://schemas.microsoft.com/office/2011/relationships/chartColorStyle" Target="colors80.xml"/><Relationship Id="rId4" Type="http://schemas.microsoft.com/office/2011/relationships/chartStyle" Target="style80.xml"/><Relationship Id="rId3" Type="http://schemas.openxmlformats.org/officeDocument/2006/relationships/image" Target="../media/image2.png"/><Relationship Id="rId2" Type="http://schemas.openxmlformats.org/officeDocument/2006/relationships/themeOverride" Target="../theme/themeOverride81.xml"/><Relationship Id="rId1" Type="http://schemas.openxmlformats.org/officeDocument/2006/relationships/package" Target="../embeddings/Workbook81.xlsx"/></Relationships>
</file>

<file path=word/charts/_rels/chart72.xml.rels><?xml version="1.0" encoding="UTF-8" standalone="yes"?>
<Relationships xmlns="http://schemas.openxmlformats.org/package/2006/relationships"><Relationship Id="rId5" Type="http://schemas.microsoft.com/office/2011/relationships/chartColorStyle" Target="colors96.xml"/><Relationship Id="rId4" Type="http://schemas.microsoft.com/office/2011/relationships/chartStyle" Target="style96.xml"/><Relationship Id="rId3" Type="http://schemas.openxmlformats.org/officeDocument/2006/relationships/image" Target="../media/image2.png"/><Relationship Id="rId2" Type="http://schemas.openxmlformats.org/officeDocument/2006/relationships/themeOverride" Target="../theme/themeOverride99.xml"/><Relationship Id="rId1" Type="http://schemas.openxmlformats.org/officeDocument/2006/relationships/package" Target="../embeddings/Workbook99.xlsx"/></Relationships>
</file>

<file path=word/charts/_rels/chart73.xml.rels><?xml version="1.0" encoding="UTF-8" standalone="yes"?>
<Relationships xmlns="http://schemas.openxmlformats.org/package/2006/relationships"><Relationship Id="rId5" Type="http://schemas.microsoft.com/office/2011/relationships/chartColorStyle" Target="colors89.xml"/><Relationship Id="rId4" Type="http://schemas.microsoft.com/office/2011/relationships/chartStyle" Target="style89.xml"/><Relationship Id="rId3" Type="http://schemas.openxmlformats.org/officeDocument/2006/relationships/image" Target="../media/image2.png"/><Relationship Id="rId2" Type="http://schemas.openxmlformats.org/officeDocument/2006/relationships/themeOverride" Target="../theme/themeOverride92.xml"/><Relationship Id="rId1" Type="http://schemas.openxmlformats.org/officeDocument/2006/relationships/package" Target="../embeddings/Workbook92.xlsx"/></Relationships>
</file>

<file path=word/charts/_rels/chart74.xml.rels><?xml version="1.0" encoding="UTF-8" standalone="yes"?>
<Relationships xmlns="http://schemas.openxmlformats.org/package/2006/relationships"><Relationship Id="rId5" Type="http://schemas.microsoft.com/office/2011/relationships/chartColorStyle" Target="colors94.xml"/><Relationship Id="rId4" Type="http://schemas.microsoft.com/office/2011/relationships/chartStyle" Target="style94.xml"/><Relationship Id="rId3" Type="http://schemas.openxmlformats.org/officeDocument/2006/relationships/image" Target="../media/image2.png"/><Relationship Id="rId2" Type="http://schemas.openxmlformats.org/officeDocument/2006/relationships/themeOverride" Target="../theme/themeOverride97.xml"/><Relationship Id="rId1" Type="http://schemas.openxmlformats.org/officeDocument/2006/relationships/package" Target="../embeddings/Workbook97.xlsx"/></Relationships>
</file>

<file path=word/charts/_rels/chart75.xml.rels><?xml version="1.0" encoding="UTF-8" standalone="yes"?>
<Relationships xmlns="http://schemas.openxmlformats.org/package/2006/relationships"><Relationship Id="rId5" Type="http://schemas.microsoft.com/office/2011/relationships/chartColorStyle" Target="colors93.xml"/><Relationship Id="rId4" Type="http://schemas.microsoft.com/office/2011/relationships/chartStyle" Target="style93.xml"/><Relationship Id="rId3" Type="http://schemas.openxmlformats.org/officeDocument/2006/relationships/image" Target="../media/image2.png"/><Relationship Id="rId2" Type="http://schemas.openxmlformats.org/officeDocument/2006/relationships/themeOverride" Target="../theme/themeOverride96.xml"/><Relationship Id="rId1" Type="http://schemas.openxmlformats.org/officeDocument/2006/relationships/package" Target="../embeddings/Workbook96.xlsx"/></Relationships>
</file>

<file path=word/charts/_rels/chart76.xml.rels><?xml version="1.0" encoding="UTF-8" standalone="yes"?>
<Relationships xmlns="http://schemas.openxmlformats.org/package/2006/relationships"><Relationship Id="rId5" Type="http://schemas.microsoft.com/office/2011/relationships/chartColorStyle" Target="colors97.xml"/><Relationship Id="rId4" Type="http://schemas.microsoft.com/office/2011/relationships/chartStyle" Target="style97.xml"/><Relationship Id="rId3" Type="http://schemas.openxmlformats.org/officeDocument/2006/relationships/image" Target="../media/image2.png"/><Relationship Id="rId2" Type="http://schemas.openxmlformats.org/officeDocument/2006/relationships/themeOverride" Target="../theme/themeOverride100.xml"/><Relationship Id="rId1" Type="http://schemas.openxmlformats.org/officeDocument/2006/relationships/package" Target="../embeddings/Workbook100.xlsx"/></Relationships>
</file>

<file path=word/charts/_rels/chart77.xml.rels><?xml version="1.0" encoding="UTF-8" standalone="yes"?>
<Relationships xmlns="http://schemas.openxmlformats.org/package/2006/relationships"><Relationship Id="rId5" Type="http://schemas.microsoft.com/office/2011/relationships/chartColorStyle" Target="colors98.xml"/><Relationship Id="rId4" Type="http://schemas.microsoft.com/office/2011/relationships/chartStyle" Target="style98.xml"/><Relationship Id="rId3" Type="http://schemas.openxmlformats.org/officeDocument/2006/relationships/image" Target="../media/image2.png"/><Relationship Id="rId2" Type="http://schemas.openxmlformats.org/officeDocument/2006/relationships/themeOverride" Target="../theme/themeOverride101.xml"/><Relationship Id="rId1" Type="http://schemas.openxmlformats.org/officeDocument/2006/relationships/package" Target="../embeddings/Workbook101.xlsx"/></Relationships>
</file>

<file path=word/charts/_rels/chart78.xml.rels><?xml version="1.0" encoding="UTF-8" standalone="yes"?>
<Relationships xmlns="http://schemas.openxmlformats.org/package/2006/relationships"><Relationship Id="rId5" Type="http://schemas.microsoft.com/office/2011/relationships/chartColorStyle" Target="colors95.xml"/><Relationship Id="rId4" Type="http://schemas.microsoft.com/office/2011/relationships/chartStyle" Target="style95.xml"/><Relationship Id="rId3" Type="http://schemas.openxmlformats.org/officeDocument/2006/relationships/image" Target="../media/image2.png"/><Relationship Id="rId2" Type="http://schemas.openxmlformats.org/officeDocument/2006/relationships/themeOverride" Target="../theme/themeOverride98.xml"/><Relationship Id="rId1" Type="http://schemas.openxmlformats.org/officeDocument/2006/relationships/package" Target="../embeddings/Workbook98.xlsx"/></Relationships>
</file>

<file path=word/charts/_rels/chart79.xml.rels><?xml version="1.0" encoding="UTF-8" standalone="yes"?>
<Relationships xmlns="http://schemas.openxmlformats.org/package/2006/relationships"><Relationship Id="rId5" Type="http://schemas.microsoft.com/office/2011/relationships/chartColorStyle" Target="colors99.xml"/><Relationship Id="rId4" Type="http://schemas.microsoft.com/office/2011/relationships/chartStyle" Target="style99.xml"/><Relationship Id="rId3" Type="http://schemas.openxmlformats.org/officeDocument/2006/relationships/image" Target="../media/image2.png"/><Relationship Id="rId2" Type="http://schemas.openxmlformats.org/officeDocument/2006/relationships/themeOverride" Target="../theme/themeOverride102.xml"/><Relationship Id="rId1" Type="http://schemas.openxmlformats.org/officeDocument/2006/relationships/package" Target="../embeddings/Workbook102.xlsx"/></Relationships>
</file>

<file path=word/charts/_rels/chart8.xml.rels><?xml version="1.0" encoding="UTF-8" standalone="yes"?>
<Relationships xmlns="http://schemas.openxmlformats.org/package/2006/relationships"><Relationship Id="rId5" Type="http://schemas.microsoft.com/office/2011/relationships/chartColorStyle" Target="colors6.xml"/><Relationship Id="rId4" Type="http://schemas.microsoft.com/office/2011/relationships/chartStyle" Target="style6.xml"/><Relationship Id="rId3" Type="http://schemas.openxmlformats.org/officeDocument/2006/relationships/image" Target="../media/image1.png"/><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80.xml.rels><?xml version="1.0" encoding="UTF-8" standalone="yes"?>
<Relationships xmlns="http://schemas.openxmlformats.org/package/2006/relationships"><Relationship Id="rId5" Type="http://schemas.microsoft.com/office/2011/relationships/chartColorStyle" Target="colors90.xml"/><Relationship Id="rId4" Type="http://schemas.microsoft.com/office/2011/relationships/chartStyle" Target="style90.xml"/><Relationship Id="rId3" Type="http://schemas.openxmlformats.org/officeDocument/2006/relationships/image" Target="../media/image2.png"/><Relationship Id="rId2" Type="http://schemas.openxmlformats.org/officeDocument/2006/relationships/themeOverride" Target="../theme/themeOverride93.xml"/><Relationship Id="rId1" Type="http://schemas.openxmlformats.org/officeDocument/2006/relationships/package" Target="../embeddings/Workbook93.xlsx"/></Relationships>
</file>

<file path=word/charts/_rels/chart81.xml.rels><?xml version="1.0" encoding="UTF-8" standalone="yes"?>
<Relationships xmlns="http://schemas.openxmlformats.org/package/2006/relationships"><Relationship Id="rId5" Type="http://schemas.microsoft.com/office/2011/relationships/chartColorStyle" Target="colors92.xml"/><Relationship Id="rId4" Type="http://schemas.microsoft.com/office/2011/relationships/chartStyle" Target="style92.xml"/><Relationship Id="rId3" Type="http://schemas.openxmlformats.org/officeDocument/2006/relationships/image" Target="../media/image2.png"/><Relationship Id="rId2" Type="http://schemas.openxmlformats.org/officeDocument/2006/relationships/themeOverride" Target="../theme/themeOverride95.xml"/><Relationship Id="rId1" Type="http://schemas.openxmlformats.org/officeDocument/2006/relationships/package" Target="../embeddings/Workbook95.xlsx"/></Relationships>
</file>

<file path=word/charts/_rels/chart82.xml.rels><?xml version="1.0" encoding="UTF-8" standalone="yes"?>
<Relationships xmlns="http://schemas.openxmlformats.org/package/2006/relationships"><Relationship Id="rId5" Type="http://schemas.microsoft.com/office/2011/relationships/chartColorStyle" Target="colors91.xml"/><Relationship Id="rId4" Type="http://schemas.microsoft.com/office/2011/relationships/chartStyle" Target="style91.xml"/><Relationship Id="rId3" Type="http://schemas.openxmlformats.org/officeDocument/2006/relationships/image" Target="../media/image2.png"/><Relationship Id="rId2" Type="http://schemas.openxmlformats.org/officeDocument/2006/relationships/themeOverride" Target="../theme/themeOverride94.xml"/><Relationship Id="rId1" Type="http://schemas.openxmlformats.org/officeDocument/2006/relationships/package" Target="../embeddings/Workbook94.xlsx"/></Relationships>
</file>

<file path=word/charts/_rels/chart83.xml.rels><?xml version="1.0" encoding="UTF-8" standalone="yes"?>
<Relationships xmlns="http://schemas.openxmlformats.org/package/2006/relationships"><Relationship Id="rId5" Type="http://schemas.microsoft.com/office/2011/relationships/chartColorStyle" Target="colors71.xml"/><Relationship Id="rId4" Type="http://schemas.microsoft.com/office/2011/relationships/chartStyle" Target="style71.xml"/><Relationship Id="rId3" Type="http://schemas.openxmlformats.org/officeDocument/2006/relationships/image" Target="../media/image2.png"/><Relationship Id="rId2" Type="http://schemas.openxmlformats.org/officeDocument/2006/relationships/themeOverride" Target="../theme/themeOverride72.xml"/><Relationship Id="rId1" Type="http://schemas.openxmlformats.org/officeDocument/2006/relationships/package" Target="../embeddings/Workbook72.xlsx"/></Relationships>
</file>

<file path=word/charts/_rels/chart84.xml.rels><?xml version="1.0" encoding="UTF-8" standalone="yes"?>
<Relationships xmlns="http://schemas.openxmlformats.org/package/2006/relationships"><Relationship Id="rId5" Type="http://schemas.microsoft.com/office/2011/relationships/chartColorStyle" Target="colors72.xml"/><Relationship Id="rId4" Type="http://schemas.microsoft.com/office/2011/relationships/chartStyle" Target="style72.xml"/><Relationship Id="rId3" Type="http://schemas.openxmlformats.org/officeDocument/2006/relationships/image" Target="../media/image2.png"/><Relationship Id="rId2" Type="http://schemas.openxmlformats.org/officeDocument/2006/relationships/themeOverride" Target="../theme/themeOverride73.xml"/><Relationship Id="rId1" Type="http://schemas.openxmlformats.org/officeDocument/2006/relationships/package" Target="../embeddings/Workbook73.xlsx"/></Relationships>
</file>

<file path=word/charts/_rels/chart85.xml.rels><?xml version="1.0" encoding="UTF-8" standalone="yes"?>
<Relationships xmlns="http://schemas.openxmlformats.org/package/2006/relationships"><Relationship Id="rId5" Type="http://schemas.microsoft.com/office/2011/relationships/chartColorStyle" Target="colors68.xml"/><Relationship Id="rId4" Type="http://schemas.microsoft.com/office/2011/relationships/chartStyle" Target="style68.xml"/><Relationship Id="rId3" Type="http://schemas.openxmlformats.org/officeDocument/2006/relationships/image" Target="../media/image2.png"/><Relationship Id="rId2" Type="http://schemas.openxmlformats.org/officeDocument/2006/relationships/themeOverride" Target="../theme/themeOverride69.xml"/><Relationship Id="rId1" Type="http://schemas.openxmlformats.org/officeDocument/2006/relationships/package" Target="../embeddings/Workbook69.xlsx"/></Relationships>
</file>

<file path=word/charts/_rels/chart86.xml.rels><?xml version="1.0" encoding="UTF-8" standalone="yes"?>
<Relationships xmlns="http://schemas.openxmlformats.org/package/2006/relationships"><Relationship Id="rId5" Type="http://schemas.microsoft.com/office/2011/relationships/chartColorStyle" Target="colors69.xml"/><Relationship Id="rId4" Type="http://schemas.microsoft.com/office/2011/relationships/chartStyle" Target="style69.xml"/><Relationship Id="rId3" Type="http://schemas.openxmlformats.org/officeDocument/2006/relationships/image" Target="../media/image2.png"/><Relationship Id="rId2" Type="http://schemas.openxmlformats.org/officeDocument/2006/relationships/themeOverride" Target="../theme/themeOverride70.xml"/><Relationship Id="rId1" Type="http://schemas.openxmlformats.org/officeDocument/2006/relationships/package" Target="../embeddings/Workbook70.xlsx"/></Relationships>
</file>

<file path=word/charts/_rels/chart87.xml.rels><?xml version="1.0" encoding="UTF-8" standalone="yes"?>
<Relationships xmlns="http://schemas.openxmlformats.org/package/2006/relationships"><Relationship Id="rId5" Type="http://schemas.microsoft.com/office/2011/relationships/chartColorStyle" Target="colors73.xml"/><Relationship Id="rId4" Type="http://schemas.microsoft.com/office/2011/relationships/chartStyle" Target="style73.xml"/><Relationship Id="rId3" Type="http://schemas.openxmlformats.org/officeDocument/2006/relationships/image" Target="../media/image2.png"/><Relationship Id="rId2" Type="http://schemas.openxmlformats.org/officeDocument/2006/relationships/themeOverride" Target="../theme/themeOverride74.xml"/><Relationship Id="rId1" Type="http://schemas.openxmlformats.org/officeDocument/2006/relationships/package" Target="../embeddings/Workbook74.xlsx"/></Relationships>
</file>

<file path=word/charts/_rels/chart88.xml.rels><?xml version="1.0" encoding="UTF-8" standalone="yes"?>
<Relationships xmlns="http://schemas.openxmlformats.org/package/2006/relationships"><Relationship Id="rId5" Type="http://schemas.microsoft.com/office/2011/relationships/chartColorStyle" Target="colors74.xml"/><Relationship Id="rId4" Type="http://schemas.microsoft.com/office/2011/relationships/chartStyle" Target="style74.xml"/><Relationship Id="rId3" Type="http://schemas.openxmlformats.org/officeDocument/2006/relationships/image" Target="../media/image2.png"/><Relationship Id="rId2" Type="http://schemas.openxmlformats.org/officeDocument/2006/relationships/themeOverride" Target="../theme/themeOverride75.xml"/><Relationship Id="rId1" Type="http://schemas.openxmlformats.org/officeDocument/2006/relationships/package" Target="../embeddings/Workbook75.xlsx"/></Relationships>
</file>

<file path=word/charts/_rels/chart89.xml.rels><?xml version="1.0" encoding="UTF-8" standalone="yes"?>
<Relationships xmlns="http://schemas.openxmlformats.org/package/2006/relationships"><Relationship Id="rId5" Type="http://schemas.microsoft.com/office/2011/relationships/chartColorStyle" Target="colors70.xml"/><Relationship Id="rId4" Type="http://schemas.microsoft.com/office/2011/relationships/chartStyle" Target="style70.xml"/><Relationship Id="rId3" Type="http://schemas.openxmlformats.org/officeDocument/2006/relationships/image" Target="../media/image2.png"/><Relationship Id="rId2" Type="http://schemas.openxmlformats.org/officeDocument/2006/relationships/themeOverride" Target="../theme/themeOverride71.xml"/><Relationship Id="rId1" Type="http://schemas.openxmlformats.org/officeDocument/2006/relationships/package" Target="../embeddings/Workbook71.xlsx"/></Relationships>
</file>

<file path=word/charts/_rels/chart9.xml.rels><?xml version="1.0" encoding="UTF-8" standalone="yes"?>
<Relationships xmlns="http://schemas.openxmlformats.org/package/2006/relationships"><Relationship Id="rId5" Type="http://schemas.microsoft.com/office/2011/relationships/chartColorStyle" Target="colors5.xml"/><Relationship Id="rId4" Type="http://schemas.microsoft.com/office/2011/relationships/chartStyle" Target="style5.xml"/><Relationship Id="rId3" Type="http://schemas.openxmlformats.org/officeDocument/2006/relationships/image" Target="../media/image1.png"/><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90.xml.rels><?xml version="1.0" encoding="UTF-8" standalone="yes"?>
<Relationships xmlns="http://schemas.openxmlformats.org/package/2006/relationships"><Relationship Id="rId5" Type="http://schemas.microsoft.com/office/2011/relationships/chartColorStyle" Target="colors67.xml"/><Relationship Id="rId4" Type="http://schemas.microsoft.com/office/2011/relationships/chartStyle" Target="style67.xml"/><Relationship Id="rId3" Type="http://schemas.openxmlformats.org/officeDocument/2006/relationships/image" Target="../media/image2.png"/><Relationship Id="rId2" Type="http://schemas.openxmlformats.org/officeDocument/2006/relationships/themeOverride" Target="../theme/themeOverride68.xml"/><Relationship Id="rId1" Type="http://schemas.openxmlformats.org/officeDocument/2006/relationships/package" Target="../embeddings/Workbook68.xlsx"/></Relationships>
</file>

<file path=word/charts/_rels/chart91.xml.rels><?xml version="1.0" encoding="UTF-8" standalone="yes"?>
<Relationships xmlns="http://schemas.openxmlformats.org/package/2006/relationships"><Relationship Id="rId5" Type="http://schemas.microsoft.com/office/2011/relationships/chartColorStyle" Target="colors61.xml"/><Relationship Id="rId4" Type="http://schemas.microsoft.com/office/2011/relationships/chartStyle" Target="style61.xml"/><Relationship Id="rId3" Type="http://schemas.openxmlformats.org/officeDocument/2006/relationships/image" Target="../media/image2.png"/><Relationship Id="rId2" Type="http://schemas.openxmlformats.org/officeDocument/2006/relationships/themeOverride" Target="../theme/themeOverride62.xml"/><Relationship Id="rId1" Type="http://schemas.openxmlformats.org/officeDocument/2006/relationships/package" Target="../embeddings/Workbook62.xlsx"/></Relationships>
</file>

<file path=word/charts/_rels/chart92.xml.rels><?xml version="1.0" encoding="UTF-8" standalone="yes"?>
<Relationships xmlns="http://schemas.openxmlformats.org/package/2006/relationships"><Relationship Id="rId5" Type="http://schemas.microsoft.com/office/2011/relationships/chartColorStyle" Target="colors58.xml"/><Relationship Id="rId4" Type="http://schemas.microsoft.com/office/2011/relationships/chartStyle" Target="style58.xml"/><Relationship Id="rId3" Type="http://schemas.openxmlformats.org/officeDocument/2006/relationships/image" Target="../media/image2.png"/><Relationship Id="rId2" Type="http://schemas.openxmlformats.org/officeDocument/2006/relationships/themeOverride" Target="../theme/themeOverride59.xml"/><Relationship Id="rId1" Type="http://schemas.openxmlformats.org/officeDocument/2006/relationships/package" Target="../embeddings/Workbook59.xlsx"/></Relationships>
</file>

<file path=word/charts/_rels/chart93.xml.rels><?xml version="1.0" encoding="UTF-8" standalone="yes"?>
<Relationships xmlns="http://schemas.openxmlformats.org/package/2006/relationships"><Relationship Id="rId5" Type="http://schemas.microsoft.com/office/2011/relationships/chartColorStyle" Target="colors62.xml"/><Relationship Id="rId4" Type="http://schemas.microsoft.com/office/2011/relationships/chartStyle" Target="style62.xml"/><Relationship Id="rId3" Type="http://schemas.openxmlformats.org/officeDocument/2006/relationships/image" Target="../media/image2.png"/><Relationship Id="rId2" Type="http://schemas.openxmlformats.org/officeDocument/2006/relationships/themeOverride" Target="../theme/themeOverride63.xml"/><Relationship Id="rId1" Type="http://schemas.openxmlformats.org/officeDocument/2006/relationships/package" Target="../embeddings/Workbook63.xlsx"/></Relationships>
</file>

<file path=word/charts/_rels/chart94.xml.rels><?xml version="1.0" encoding="UTF-8" standalone="yes"?>
<Relationships xmlns="http://schemas.openxmlformats.org/package/2006/relationships"><Relationship Id="rId5" Type="http://schemas.microsoft.com/office/2011/relationships/chartColorStyle" Target="colors65.xml"/><Relationship Id="rId4" Type="http://schemas.microsoft.com/office/2011/relationships/chartStyle" Target="style65.xml"/><Relationship Id="rId3" Type="http://schemas.openxmlformats.org/officeDocument/2006/relationships/image" Target="../media/image2.png"/><Relationship Id="rId2" Type="http://schemas.openxmlformats.org/officeDocument/2006/relationships/themeOverride" Target="../theme/themeOverride66.xml"/><Relationship Id="rId1" Type="http://schemas.openxmlformats.org/officeDocument/2006/relationships/package" Target="../embeddings/Workbook66.xlsx"/></Relationships>
</file>

<file path=word/charts/_rels/chart95.xml.rels><?xml version="1.0" encoding="UTF-8" standalone="yes"?>
<Relationships xmlns="http://schemas.openxmlformats.org/package/2006/relationships"><Relationship Id="rId5" Type="http://schemas.microsoft.com/office/2011/relationships/chartColorStyle" Target="colors59.xml"/><Relationship Id="rId4" Type="http://schemas.microsoft.com/office/2011/relationships/chartStyle" Target="style59.xml"/><Relationship Id="rId3" Type="http://schemas.openxmlformats.org/officeDocument/2006/relationships/image" Target="../media/image2.png"/><Relationship Id="rId2" Type="http://schemas.openxmlformats.org/officeDocument/2006/relationships/themeOverride" Target="../theme/themeOverride60.xml"/><Relationship Id="rId1" Type="http://schemas.openxmlformats.org/officeDocument/2006/relationships/package" Target="../embeddings/Workbook60.xlsx"/></Relationships>
</file>

<file path=word/charts/_rels/chart96.xml.rels><?xml version="1.0" encoding="UTF-8" standalone="yes"?>
<Relationships xmlns="http://schemas.openxmlformats.org/package/2006/relationships"><Relationship Id="rId5" Type="http://schemas.microsoft.com/office/2011/relationships/chartColorStyle" Target="colors54.xml"/><Relationship Id="rId4" Type="http://schemas.microsoft.com/office/2011/relationships/chartStyle" Target="style54.xml"/><Relationship Id="rId3" Type="http://schemas.openxmlformats.org/officeDocument/2006/relationships/image" Target="../media/image2.png"/><Relationship Id="rId2" Type="http://schemas.openxmlformats.org/officeDocument/2006/relationships/themeOverride" Target="../theme/themeOverride55.xml"/><Relationship Id="rId1" Type="http://schemas.openxmlformats.org/officeDocument/2006/relationships/package" Target="../embeddings/Workbook55.xlsx"/></Relationships>
</file>

<file path=word/charts/_rels/chart97.xml.rels><?xml version="1.0" encoding="UTF-8" standalone="yes"?>
<Relationships xmlns="http://schemas.openxmlformats.org/package/2006/relationships"><Relationship Id="rId5" Type="http://schemas.microsoft.com/office/2011/relationships/chartColorStyle" Target="colors60.xml"/><Relationship Id="rId4" Type="http://schemas.microsoft.com/office/2011/relationships/chartStyle" Target="style60.xml"/><Relationship Id="rId3" Type="http://schemas.openxmlformats.org/officeDocument/2006/relationships/image" Target="../media/image2.png"/><Relationship Id="rId2" Type="http://schemas.openxmlformats.org/officeDocument/2006/relationships/themeOverride" Target="../theme/themeOverride61.xml"/><Relationship Id="rId1" Type="http://schemas.openxmlformats.org/officeDocument/2006/relationships/package" Target="../embeddings/Workbook61.xlsx"/></Relationships>
</file>

<file path=word/charts/_rels/chart98.xml.rels><?xml version="1.0" encoding="UTF-8" standalone="yes"?>
<Relationships xmlns="http://schemas.openxmlformats.org/package/2006/relationships"><Relationship Id="rId5" Type="http://schemas.microsoft.com/office/2011/relationships/chartColorStyle" Target="colors63.xml"/><Relationship Id="rId4" Type="http://schemas.microsoft.com/office/2011/relationships/chartStyle" Target="style63.xml"/><Relationship Id="rId3" Type="http://schemas.openxmlformats.org/officeDocument/2006/relationships/image" Target="../media/image2.png"/><Relationship Id="rId2" Type="http://schemas.openxmlformats.org/officeDocument/2006/relationships/themeOverride" Target="../theme/themeOverride64.xml"/><Relationship Id="rId1" Type="http://schemas.openxmlformats.org/officeDocument/2006/relationships/package" Target="../embeddings/Workbook64.xlsx"/></Relationships>
</file>

<file path=word/charts/_rels/chart99.xml.rels><?xml version="1.0" encoding="UTF-8" standalone="yes"?>
<Relationships xmlns="http://schemas.openxmlformats.org/package/2006/relationships"><Relationship Id="rId5" Type="http://schemas.microsoft.com/office/2011/relationships/chartColorStyle" Target="colors53.xml"/><Relationship Id="rId4" Type="http://schemas.microsoft.com/office/2011/relationships/chartStyle" Target="style53.xml"/><Relationship Id="rId3" Type="http://schemas.openxmlformats.org/officeDocument/2006/relationships/image" Target="../media/image2.png"/><Relationship Id="rId2" Type="http://schemas.openxmlformats.org/officeDocument/2006/relationships/themeOverride" Target="../theme/themeOverride54.xml"/><Relationship Id="rId1" Type="http://schemas.openxmlformats.org/officeDocument/2006/relationships/package" Target="../embeddings/Workbook5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33426443203"/>
          <c:y val="0.0651519711104424"/>
          <c:w val="0.754469273743017"/>
          <c:h val="0.797532350285886"/>
        </c:manualLayout>
      </c:layout>
      <c:barChart>
        <c:barDir val="bar"/>
        <c:grouping val="stacked"/>
        <c:varyColors val="0"/>
        <c:ser>
          <c:idx val="0"/>
          <c:order val="0"/>
          <c:tx>
            <c:strRef>
              <c:f>Sheet1!$B$1</c:f>
              <c:strCache>
                <c:ptCount val="1"/>
                <c:pt idx="0">
                  <c:v>男生</c:v>
                </c:pt>
              </c:strCache>
            </c:strRef>
          </c:tx>
          <c:spPr>
            <a:solidFill>
              <a:srgbClr val="0F4C80"/>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戏曲学院</c:v>
                </c:pt>
                <c:pt idx="1">
                  <c:v>新闻传媒学院</c:v>
                </c:pt>
                <c:pt idx="2">
                  <c:v>戏剧学院</c:v>
                </c:pt>
                <c:pt idx="3">
                  <c:v>综合艺术学院</c:v>
                </c:pt>
                <c:pt idx="4">
                  <c:v>音乐学院</c:v>
                </c:pt>
                <c:pt idx="5">
                  <c:v>舞蹈学院</c:v>
                </c:pt>
                <c:pt idx="6">
                  <c:v>美术学院</c:v>
                </c:pt>
              </c:strCache>
            </c:strRef>
          </c:cat>
          <c:val>
            <c:numRef>
              <c:f>Sheet1!$B$2:$B$8</c:f>
              <c:numCache>
                <c:formatCode>General</c:formatCode>
                <c:ptCount val="7"/>
                <c:pt idx="0">
                  <c:v>18</c:v>
                </c:pt>
                <c:pt idx="1">
                  <c:v>36</c:v>
                </c:pt>
                <c:pt idx="2">
                  <c:v>67</c:v>
                </c:pt>
                <c:pt idx="3">
                  <c:v>77</c:v>
                </c:pt>
                <c:pt idx="4">
                  <c:v>117</c:v>
                </c:pt>
                <c:pt idx="5">
                  <c:v>45</c:v>
                </c:pt>
                <c:pt idx="6">
                  <c:v>221</c:v>
                </c:pt>
              </c:numCache>
            </c:numRef>
          </c:val>
        </c:ser>
        <c:ser>
          <c:idx val="1"/>
          <c:order val="1"/>
          <c:tx>
            <c:strRef>
              <c:f>Sheet1!$C$1</c:f>
              <c:strCache>
                <c:ptCount val="1"/>
                <c:pt idx="0">
                  <c:v>女生</c:v>
                </c:pt>
              </c:strCache>
            </c:strRef>
          </c:tx>
          <c:spPr>
            <a:solidFill>
              <a:srgbClr val="EC656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戏曲学院</c:v>
                </c:pt>
                <c:pt idx="1">
                  <c:v>新闻传媒学院</c:v>
                </c:pt>
                <c:pt idx="2">
                  <c:v>戏剧学院</c:v>
                </c:pt>
                <c:pt idx="3">
                  <c:v>综合艺术学院</c:v>
                </c:pt>
                <c:pt idx="4">
                  <c:v>音乐学院</c:v>
                </c:pt>
                <c:pt idx="5">
                  <c:v>舞蹈学院</c:v>
                </c:pt>
                <c:pt idx="6">
                  <c:v>美术学院</c:v>
                </c:pt>
              </c:strCache>
            </c:strRef>
          </c:cat>
          <c:val>
            <c:numRef>
              <c:f>Sheet1!$C$2:$C$8</c:f>
              <c:numCache>
                <c:formatCode>General</c:formatCode>
                <c:ptCount val="7"/>
                <c:pt idx="0">
                  <c:v>23</c:v>
                </c:pt>
                <c:pt idx="1">
                  <c:v>49</c:v>
                </c:pt>
                <c:pt idx="2">
                  <c:v>75</c:v>
                </c:pt>
                <c:pt idx="3">
                  <c:v>116</c:v>
                </c:pt>
                <c:pt idx="4">
                  <c:v>130</c:v>
                </c:pt>
                <c:pt idx="5">
                  <c:v>229</c:v>
                </c:pt>
                <c:pt idx="6">
                  <c:v>281</c:v>
                </c:pt>
              </c:numCache>
            </c:numRef>
          </c:val>
        </c:ser>
        <c:dLbls>
          <c:showLegendKey val="0"/>
          <c:showVal val="0"/>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legend>
      <c:legendPos val="t"/>
      <c:layout>
        <c:manualLayout>
          <c:xMode val="edge"/>
          <c:yMode val="edge"/>
          <c:x val="0.384252793296089"/>
          <c:y val="0.92612097502257"/>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出国、出境</c:v>
                </c:pt>
                <c:pt idx="1">
                  <c:v>不就业拟升学</c:v>
                </c:pt>
                <c:pt idx="2">
                  <c:v>地方基层项目</c:v>
                </c:pt>
                <c:pt idx="3">
                  <c:v>自由职业</c:v>
                </c:pt>
                <c:pt idx="4">
                  <c:v>自主创业</c:v>
                </c:pt>
                <c:pt idx="5">
                  <c:v>其他暂不就业</c:v>
                </c:pt>
                <c:pt idx="6">
                  <c:v>其他录用形式就业</c:v>
                </c:pt>
                <c:pt idx="7">
                  <c:v>应征义务兵</c:v>
                </c:pt>
                <c:pt idx="8">
                  <c:v>待就业</c:v>
                </c:pt>
                <c:pt idx="9">
                  <c:v>签劳动合同形式就业</c:v>
                </c:pt>
                <c:pt idx="10">
                  <c:v>升学</c:v>
                </c:pt>
                <c:pt idx="11">
                  <c:v>签就业协议形式就业</c:v>
                </c:pt>
              </c:strCache>
            </c:strRef>
          </c:cat>
          <c:val>
            <c:numRef>
              <c:f>Sheet1!$B$2:$B$13</c:f>
              <c:numCache>
                <c:formatCode>General</c:formatCode>
                <c:ptCount val="12"/>
                <c:pt idx="0">
                  <c:v>1</c:v>
                </c:pt>
                <c:pt idx="1">
                  <c:v>2</c:v>
                </c:pt>
                <c:pt idx="2">
                  <c:v>3</c:v>
                </c:pt>
                <c:pt idx="3">
                  <c:v>6</c:v>
                </c:pt>
                <c:pt idx="4">
                  <c:v>7</c:v>
                </c:pt>
                <c:pt idx="5">
                  <c:v>16</c:v>
                </c:pt>
                <c:pt idx="6">
                  <c:v>32</c:v>
                </c:pt>
                <c:pt idx="7">
                  <c:v>35</c:v>
                </c:pt>
                <c:pt idx="8">
                  <c:v>106</c:v>
                </c:pt>
                <c:pt idx="9">
                  <c:v>183</c:v>
                </c:pt>
                <c:pt idx="10">
                  <c:v>396</c:v>
                </c:pt>
                <c:pt idx="11">
                  <c:v>697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759776536313"/>
          <c:y val="0.0811982154238368"/>
          <c:w val="0.488989757914339"/>
          <c:h val="0.81674952198852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加强个人道德和修养</c:v>
                </c:pt>
                <c:pt idx="1">
                  <c:v>加强英语及计算机教学力度</c:v>
                </c:pt>
                <c:pt idx="2">
                  <c:v>加强人文社会科学素养训练</c:v>
                </c:pt>
                <c:pt idx="3">
                  <c:v>加强文字水平及语言表达能力培养</c:v>
                </c:pt>
                <c:pt idx="4">
                  <c:v>其他</c:v>
                </c:pt>
                <c:pt idx="5">
                  <c:v>加强人际沟通及协调能力培养</c:v>
                </c:pt>
                <c:pt idx="6">
                  <c:v>加强竞争意识和创新能力培养</c:v>
                </c:pt>
                <c:pt idx="7">
                  <c:v>加强专业知识培养</c:v>
                </c:pt>
                <c:pt idx="8">
                  <c:v>加强人生观、职业道德和劳动态度培养</c:v>
                </c:pt>
                <c:pt idx="9">
                  <c:v>知识传授要结合“前沿”，教学方法要灵活多样，教学内容要“与时俱进”</c:v>
                </c:pt>
                <c:pt idx="10">
                  <c:v>加强基础知识培养、拓宽知识面</c:v>
                </c:pt>
                <c:pt idx="11">
                  <c:v>强化教学实习、见习及社会实践环节，加强应用能力培养</c:v>
                </c:pt>
              </c:strCache>
            </c:strRef>
          </c:cat>
          <c:val>
            <c:numRef>
              <c:f>Sheet1!$B$2:$B$13</c:f>
              <c:numCache>
                <c:formatCode>0.00%</c:formatCode>
                <c:ptCount val="12"/>
                <c:pt idx="0">
                  <c:v>0.0469</c:v>
                </c:pt>
                <c:pt idx="1">
                  <c:v>0.0573</c:v>
                </c:pt>
                <c:pt idx="2">
                  <c:v>0.0781</c:v>
                </c:pt>
                <c:pt idx="3">
                  <c:v>0.0833</c:v>
                </c:pt>
                <c:pt idx="4">
                  <c:v>0.0938</c:v>
                </c:pt>
                <c:pt idx="5">
                  <c:v>0.2396</c:v>
                </c:pt>
                <c:pt idx="6">
                  <c:v>0.2448</c:v>
                </c:pt>
                <c:pt idx="7">
                  <c:v>0.2708</c:v>
                </c:pt>
                <c:pt idx="8">
                  <c:v>0.2708</c:v>
                </c:pt>
                <c:pt idx="9">
                  <c:v>0.3021</c:v>
                </c:pt>
                <c:pt idx="10">
                  <c:v>0.3542</c:v>
                </c:pt>
                <c:pt idx="11">
                  <c:v>0.5104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136071100215"/>
          <c:w val="0.679166666666667"/>
          <c:h val="0.734722647870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不太满意</c:v>
                </c:pt>
                <c:pt idx="1">
                  <c:v>一般</c:v>
                </c:pt>
                <c:pt idx="2">
                  <c:v>很满意</c:v>
                </c:pt>
                <c:pt idx="3">
                  <c:v>比较满意</c:v>
                </c:pt>
              </c:strCache>
            </c:strRef>
          </c:cat>
          <c:val>
            <c:numRef>
              <c:f>Sheet1!$B$2:$B$5</c:f>
              <c:numCache>
                <c:formatCode>0.00%</c:formatCode>
                <c:ptCount val="4"/>
                <c:pt idx="0">
                  <c:v>0</c:v>
                </c:pt>
                <c:pt idx="1">
                  <c:v>0.026</c:v>
                </c:pt>
                <c:pt idx="2">
                  <c:v>0.3854</c:v>
                </c:pt>
                <c:pt idx="3">
                  <c:v>0.5885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106682649086"/>
          <c:w val="0.679166666666667"/>
          <c:h val="0.726221156727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改善招聘场地基础设施</c:v>
                </c:pt>
                <c:pt idx="1">
                  <c:v>其他</c:v>
                </c:pt>
                <c:pt idx="2">
                  <c:v>多提供实习实践机会</c:v>
                </c:pt>
                <c:pt idx="3">
                  <c:v>加强学生求职、择业方面培训指导</c:v>
                </c:pt>
                <c:pt idx="4">
                  <c:v>增强校园招聘会的宣传力度</c:v>
                </c:pt>
              </c:strCache>
            </c:strRef>
          </c:cat>
          <c:val>
            <c:numRef>
              <c:f>Sheet1!$B$2:$B$6</c:f>
              <c:numCache>
                <c:formatCode>0.00%</c:formatCode>
                <c:ptCount val="5"/>
                <c:pt idx="0">
                  <c:v>0.0781</c:v>
                </c:pt>
                <c:pt idx="1">
                  <c:v>0.0885</c:v>
                </c:pt>
                <c:pt idx="2">
                  <c:v>0.4115</c:v>
                </c:pt>
                <c:pt idx="3">
                  <c:v>0.5521</c:v>
                </c:pt>
                <c:pt idx="4">
                  <c:v>0.6563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430167597765"/>
          <c:y val="0.0812423708124237"/>
          <c:w val="0.644890595903166"/>
          <c:h val="0.783181879831819"/>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政府职能未能很好发挥</c:v>
                </c:pt>
                <c:pt idx="1">
                  <c:v>毕业生计算机或外语水平不够</c:v>
                </c:pt>
                <c:pt idx="2">
                  <c:v>其他</c:v>
                </c:pt>
                <c:pt idx="3">
                  <c:v>单位不想承担人才继续培养的责任</c:v>
                </c:pt>
                <c:pt idx="4">
                  <c:v>毕业生综合素质不高</c:v>
                </c:pt>
                <c:pt idx="5">
                  <c:v>社会舆论导向</c:v>
                </c:pt>
                <c:pt idx="6">
                  <c:v>毕业生动手操作能力差</c:v>
                </c:pt>
                <c:pt idx="7">
                  <c:v>学校培养不适应社会要求</c:v>
                </c:pt>
                <c:pt idx="8">
                  <c:v>毕业生供大于求</c:v>
                </c:pt>
                <c:pt idx="9">
                  <c:v>就业信息不对称</c:v>
                </c:pt>
                <c:pt idx="10">
                  <c:v>毕业生缺乏社会工作和实践经验</c:v>
                </c:pt>
                <c:pt idx="11">
                  <c:v>毕业生就业期望值过高</c:v>
                </c:pt>
              </c:strCache>
            </c:strRef>
          </c:cat>
          <c:val>
            <c:numRef>
              <c:f>Sheet1!$B$2:$B$13</c:f>
              <c:numCache>
                <c:formatCode>0.00%</c:formatCode>
                <c:ptCount val="12"/>
                <c:pt idx="0">
                  <c:v>0.0104</c:v>
                </c:pt>
                <c:pt idx="1">
                  <c:v>0.0677</c:v>
                </c:pt>
                <c:pt idx="2">
                  <c:v>0.0729</c:v>
                </c:pt>
                <c:pt idx="3">
                  <c:v>0.0781</c:v>
                </c:pt>
                <c:pt idx="4">
                  <c:v>0.0885</c:v>
                </c:pt>
                <c:pt idx="5">
                  <c:v>0.1146</c:v>
                </c:pt>
                <c:pt idx="6">
                  <c:v>0.125</c:v>
                </c:pt>
                <c:pt idx="7">
                  <c:v>0.1406</c:v>
                </c:pt>
                <c:pt idx="8">
                  <c:v>0.2708</c:v>
                </c:pt>
                <c:pt idx="9">
                  <c:v>0.3229</c:v>
                </c:pt>
                <c:pt idx="10">
                  <c:v>0.4531</c:v>
                </c:pt>
                <c:pt idx="11">
                  <c:v>0.6042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162011173184"/>
          <c:y val="0.0812555260831123"/>
          <c:w val="0.679166666666667"/>
          <c:h val="0.820548187444739"/>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采矿业</c:v>
                </c:pt>
                <c:pt idx="1">
                  <c:v>水利、环境和公共设施管理业</c:v>
                </c:pt>
                <c:pt idx="2">
                  <c:v>公共管理、社会保障和社会组织</c:v>
                </c:pt>
                <c:pt idx="3">
                  <c:v>卫生和社会工作</c:v>
                </c:pt>
                <c:pt idx="4">
                  <c:v>金融业</c:v>
                </c:pt>
                <c:pt idx="5">
                  <c:v>电力、热力、燃气及水生产和供应业</c:v>
                </c:pt>
                <c:pt idx="6">
                  <c:v>科学研究和技术服务业</c:v>
                </c:pt>
                <c:pt idx="7">
                  <c:v>农、林、牧、渔业</c:v>
                </c:pt>
                <c:pt idx="8">
                  <c:v>房地产业</c:v>
                </c:pt>
                <c:pt idx="9">
                  <c:v>租赁和商务服务业</c:v>
                </c:pt>
                <c:pt idx="10">
                  <c:v>交通运输、仓储和邮政业</c:v>
                </c:pt>
                <c:pt idx="11">
                  <c:v>居民服务、修理和其他服务业</c:v>
                </c:pt>
                <c:pt idx="12">
                  <c:v>制造业</c:v>
                </c:pt>
                <c:pt idx="13">
                  <c:v>信息传输、软件和信息技术服务业</c:v>
                </c:pt>
                <c:pt idx="14">
                  <c:v>住宿和餐饮业</c:v>
                </c:pt>
                <c:pt idx="15">
                  <c:v>建筑业</c:v>
                </c:pt>
                <c:pt idx="16">
                  <c:v>批发和零售业</c:v>
                </c:pt>
                <c:pt idx="17">
                  <c:v>教育</c:v>
                </c:pt>
                <c:pt idx="18">
                  <c:v>文化、体育和娱乐业</c:v>
                </c:pt>
              </c:strCache>
            </c:strRef>
          </c:cat>
          <c:val>
            <c:numRef>
              <c:f>Sheet1!$B$2:$B$20</c:f>
              <c:numCache>
                <c:formatCode>General</c:formatCode>
                <c:ptCount val="19"/>
                <c:pt idx="0">
                  <c:v>2</c:v>
                </c:pt>
                <c:pt idx="1">
                  <c:v>3</c:v>
                </c:pt>
                <c:pt idx="2">
                  <c:v>4</c:v>
                </c:pt>
                <c:pt idx="3">
                  <c:v>5</c:v>
                </c:pt>
                <c:pt idx="4">
                  <c:v>6</c:v>
                </c:pt>
                <c:pt idx="5">
                  <c:v>8</c:v>
                </c:pt>
                <c:pt idx="6">
                  <c:v>12</c:v>
                </c:pt>
                <c:pt idx="7">
                  <c:v>13</c:v>
                </c:pt>
                <c:pt idx="8">
                  <c:v>14</c:v>
                </c:pt>
                <c:pt idx="9">
                  <c:v>24</c:v>
                </c:pt>
                <c:pt idx="10">
                  <c:v>32</c:v>
                </c:pt>
                <c:pt idx="11">
                  <c:v>39</c:v>
                </c:pt>
                <c:pt idx="12">
                  <c:v>51</c:v>
                </c:pt>
                <c:pt idx="13">
                  <c:v>66</c:v>
                </c:pt>
                <c:pt idx="14">
                  <c:v>68</c:v>
                </c:pt>
                <c:pt idx="15">
                  <c:v>90</c:v>
                </c:pt>
                <c:pt idx="16">
                  <c:v>96</c:v>
                </c:pt>
                <c:pt idx="17">
                  <c:v>153</c:v>
                </c:pt>
                <c:pt idx="18">
                  <c:v>226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医疗卫生单位</c:v>
                </c:pt>
                <c:pt idx="1">
                  <c:v>中初教育单位</c:v>
                </c:pt>
                <c:pt idx="2">
                  <c:v>农村建制村</c:v>
                </c:pt>
                <c:pt idx="3">
                  <c:v>城镇社区</c:v>
                </c:pt>
                <c:pt idx="4">
                  <c:v>机关</c:v>
                </c:pt>
                <c:pt idx="5">
                  <c:v>三资企业</c:v>
                </c:pt>
                <c:pt idx="6">
                  <c:v>其他事业单位</c:v>
                </c:pt>
                <c:pt idx="7">
                  <c:v>国有企业</c:v>
                </c:pt>
                <c:pt idx="8">
                  <c:v>其他企业</c:v>
                </c:pt>
              </c:strCache>
            </c:strRef>
          </c:cat>
          <c:val>
            <c:numRef>
              <c:f>Sheet1!$B$2:$B$10</c:f>
              <c:numCache>
                <c:formatCode>General</c:formatCode>
                <c:ptCount val="9"/>
                <c:pt idx="0">
                  <c:v>1</c:v>
                </c:pt>
                <c:pt idx="1">
                  <c:v>2</c:v>
                </c:pt>
                <c:pt idx="2">
                  <c:v>2</c:v>
                </c:pt>
                <c:pt idx="3">
                  <c:v>3</c:v>
                </c:pt>
                <c:pt idx="4">
                  <c:v>4</c:v>
                </c:pt>
                <c:pt idx="5">
                  <c:v>4</c:v>
                </c:pt>
                <c:pt idx="6">
                  <c:v>21</c:v>
                </c:pt>
                <c:pt idx="7">
                  <c:v>22</c:v>
                </c:pt>
                <c:pt idx="8">
                  <c:v>853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法律专业人员</c:v>
                </c:pt>
                <c:pt idx="1">
                  <c:v>公务员</c:v>
                </c:pt>
                <c:pt idx="2">
                  <c:v>金融业务人员</c:v>
                </c:pt>
                <c:pt idx="3">
                  <c:v>生产和运输设备操作人员</c:v>
                </c:pt>
                <c:pt idx="4">
                  <c:v>农林牧渔业技术人员</c:v>
                </c:pt>
                <c:pt idx="5">
                  <c:v>体育工作人员</c:v>
                </c:pt>
                <c:pt idx="6">
                  <c:v>新闻出版和文化工作人员</c:v>
                </c:pt>
                <c:pt idx="7">
                  <c:v>经济业务人员</c:v>
                </c:pt>
                <c:pt idx="8">
                  <c:v>工程技术人员</c:v>
                </c:pt>
                <c:pt idx="9">
                  <c:v>其他专业技术人员</c:v>
                </c:pt>
                <c:pt idx="10">
                  <c:v>办事人员和有关人员</c:v>
                </c:pt>
                <c:pt idx="11">
                  <c:v>商业和服务业人员</c:v>
                </c:pt>
                <c:pt idx="12">
                  <c:v>文学艺术工作人员</c:v>
                </c:pt>
                <c:pt idx="13">
                  <c:v>教学人员</c:v>
                </c:pt>
                <c:pt idx="14">
                  <c:v>其他人员</c:v>
                </c:pt>
              </c:strCache>
            </c:strRef>
          </c:cat>
          <c:val>
            <c:numRef>
              <c:f>Sheet1!$B$2:$B$16</c:f>
              <c:numCache>
                <c:formatCode>General</c:formatCode>
                <c:ptCount val="15"/>
                <c:pt idx="0">
                  <c:v>1</c:v>
                </c:pt>
                <c:pt idx="1">
                  <c:v>2</c:v>
                </c:pt>
                <c:pt idx="2">
                  <c:v>3</c:v>
                </c:pt>
                <c:pt idx="3">
                  <c:v>3</c:v>
                </c:pt>
                <c:pt idx="4">
                  <c:v>5</c:v>
                </c:pt>
                <c:pt idx="5">
                  <c:v>7</c:v>
                </c:pt>
                <c:pt idx="6">
                  <c:v>9</c:v>
                </c:pt>
                <c:pt idx="7">
                  <c:v>10</c:v>
                </c:pt>
                <c:pt idx="8">
                  <c:v>18</c:v>
                </c:pt>
                <c:pt idx="9">
                  <c:v>70</c:v>
                </c:pt>
                <c:pt idx="10">
                  <c:v>71</c:v>
                </c:pt>
                <c:pt idx="11">
                  <c:v>98</c:v>
                </c:pt>
                <c:pt idx="12">
                  <c:v>109</c:v>
                </c:pt>
                <c:pt idx="13">
                  <c:v>163</c:v>
                </c:pt>
                <c:pt idx="14">
                  <c:v>343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华东地区</c:v>
                </c:pt>
                <c:pt idx="1">
                  <c:v>华南地区</c:v>
                </c:pt>
                <c:pt idx="2">
                  <c:v>华北地区</c:v>
                </c:pt>
                <c:pt idx="3">
                  <c:v>华中地区</c:v>
                </c:pt>
                <c:pt idx="4">
                  <c:v>东北地区</c:v>
                </c:pt>
                <c:pt idx="5">
                  <c:v>西南地区</c:v>
                </c:pt>
                <c:pt idx="6">
                  <c:v>西北地区</c:v>
                </c:pt>
              </c:strCache>
            </c:strRef>
          </c:cat>
          <c:val>
            <c:numRef>
              <c:f>Sheet1!$B$2:$B$8</c:f>
              <c:numCache>
                <c:formatCode>General</c:formatCode>
                <c:ptCount val="7"/>
                <c:pt idx="0">
                  <c:v>896</c:v>
                </c:pt>
                <c:pt idx="1">
                  <c:v>14</c:v>
                </c:pt>
                <c:pt idx="2">
                  <c:v>7</c:v>
                </c:pt>
                <c:pt idx="3">
                  <c:v>5</c:v>
                </c:pt>
                <c:pt idx="4">
                  <c:v>2</c:v>
                </c:pt>
                <c:pt idx="5">
                  <c:v>2</c:v>
                </c:pt>
                <c:pt idx="6">
                  <c:v>2</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安徽省</c:v>
                </c:pt>
                <c:pt idx="1">
                  <c:v>其它合计</c:v>
                </c:pt>
              </c:strCache>
            </c:strRef>
          </c:cat>
          <c:val>
            <c:numRef>
              <c:f>Sheet1!$B$2:$B$3</c:f>
              <c:numCache>
                <c:formatCode>General</c:formatCode>
                <c:ptCount val="2"/>
                <c:pt idx="0">
                  <c:v>782</c:v>
                </c:pt>
                <c:pt idx="1">
                  <c:v>146</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省会城市</c:v>
                </c:pt>
                <c:pt idx="1">
                  <c:v>地级市</c:v>
                </c:pt>
                <c:pt idx="2">
                  <c:v>县</c:v>
                </c:pt>
                <c:pt idx="3">
                  <c:v>县级市</c:v>
                </c:pt>
                <c:pt idx="4">
                  <c:v>直辖市</c:v>
                </c:pt>
                <c:pt idx="5">
                  <c:v>计划单列市</c:v>
                </c:pt>
              </c:strCache>
            </c:strRef>
          </c:cat>
          <c:val>
            <c:numRef>
              <c:f>Sheet1!$B$2:$B$7</c:f>
              <c:numCache>
                <c:formatCode>General</c:formatCode>
                <c:ptCount val="6"/>
                <c:pt idx="0">
                  <c:v>414</c:v>
                </c:pt>
                <c:pt idx="1">
                  <c:v>236</c:v>
                </c:pt>
                <c:pt idx="2">
                  <c:v>179</c:v>
                </c:pt>
                <c:pt idx="3">
                  <c:v>65</c:v>
                </c:pt>
                <c:pt idx="4">
                  <c:v>29</c:v>
                </c:pt>
                <c:pt idx="5">
                  <c:v>5</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20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40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82865302237"/>
          <c:w val="0.833379694019471"/>
          <c:h val="0.552332222751071"/>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安徽省</c:v>
                </c:pt>
                <c:pt idx="1">
                  <c:v>江浙沪</c:v>
                </c:pt>
                <c:pt idx="2">
                  <c:v>珠三角(广东)</c:v>
                </c:pt>
                <c:pt idx="3">
                  <c:v>环渤海经济圈</c:v>
                </c:pt>
                <c:pt idx="4">
                  <c:v>其它地区</c:v>
                </c:pt>
                <c:pt idx="5">
                  <c:v>中原地区</c:v>
                </c:pt>
                <c:pt idx="6">
                  <c:v>西部城市</c:v>
                </c:pt>
                <c:pt idx="7">
                  <c:v>东北三省</c:v>
                </c:pt>
              </c:strCache>
            </c:strRef>
          </c:cat>
          <c:val>
            <c:numRef>
              <c:f>Sheet1!$B$2:$B$9</c:f>
              <c:numCache>
                <c:formatCode>General</c:formatCode>
                <c:ptCount val="8"/>
                <c:pt idx="0">
                  <c:v>782</c:v>
                </c:pt>
                <c:pt idx="1">
                  <c:v>102</c:v>
                </c:pt>
                <c:pt idx="2">
                  <c:v>12</c:v>
                </c:pt>
                <c:pt idx="3">
                  <c:v>12</c:v>
                </c:pt>
                <c:pt idx="4">
                  <c:v>10</c:v>
                </c:pt>
                <c:pt idx="5">
                  <c:v>5</c:v>
                </c:pt>
                <c:pt idx="6">
                  <c:v>4</c:v>
                </c:pt>
                <c:pt idx="7">
                  <c:v>1</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8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20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新一线城市</c:v>
                </c:pt>
                <c:pt idx="1">
                  <c:v>三线城市</c:v>
                </c:pt>
                <c:pt idx="2">
                  <c:v>四线城市</c:v>
                </c:pt>
                <c:pt idx="3">
                  <c:v>二线城市</c:v>
                </c:pt>
                <c:pt idx="4">
                  <c:v>一线城市</c:v>
                </c:pt>
                <c:pt idx="5">
                  <c:v>五线城市</c:v>
                </c:pt>
                <c:pt idx="6">
                  <c:v>其它城市</c:v>
                </c:pt>
              </c:strCache>
            </c:strRef>
          </c:cat>
          <c:val>
            <c:numRef>
              <c:f>Sheet1!$B$2:$B$8</c:f>
              <c:numCache>
                <c:formatCode>General</c:formatCode>
                <c:ptCount val="7"/>
                <c:pt idx="0">
                  <c:v>478</c:v>
                </c:pt>
                <c:pt idx="1">
                  <c:v>243</c:v>
                </c:pt>
                <c:pt idx="2">
                  <c:v>134</c:v>
                </c:pt>
                <c:pt idx="3">
                  <c:v>38</c:v>
                </c:pt>
                <c:pt idx="4">
                  <c:v>32</c:v>
                </c:pt>
                <c:pt idx="5">
                  <c:v>2</c:v>
                </c:pt>
                <c:pt idx="6">
                  <c:v>1</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5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10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82865302237"/>
          <c:w val="0.833323290411377"/>
          <c:h val="0.610875773441218"/>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合肥市</c:v>
                </c:pt>
                <c:pt idx="1">
                  <c:v>阜阳市</c:v>
                </c:pt>
                <c:pt idx="2">
                  <c:v>亳州市</c:v>
                </c:pt>
                <c:pt idx="3">
                  <c:v>安庆市</c:v>
                </c:pt>
                <c:pt idx="4">
                  <c:v>六安市</c:v>
                </c:pt>
                <c:pt idx="5">
                  <c:v>芜湖市</c:v>
                </c:pt>
                <c:pt idx="6">
                  <c:v>黄山市</c:v>
                </c:pt>
                <c:pt idx="7">
                  <c:v>蚌埠市</c:v>
                </c:pt>
                <c:pt idx="8">
                  <c:v>滁州市</c:v>
                </c:pt>
                <c:pt idx="9">
                  <c:v>宿州市</c:v>
                </c:pt>
                <c:pt idx="10">
                  <c:v>宣城市</c:v>
                </c:pt>
                <c:pt idx="11">
                  <c:v>淮南市</c:v>
                </c:pt>
                <c:pt idx="12">
                  <c:v>铜陵市</c:v>
                </c:pt>
                <c:pt idx="13">
                  <c:v>池州市</c:v>
                </c:pt>
                <c:pt idx="14">
                  <c:v>淮北市</c:v>
                </c:pt>
                <c:pt idx="15">
                  <c:v>马鞍山市</c:v>
                </c:pt>
              </c:strCache>
            </c:strRef>
          </c:cat>
          <c:val>
            <c:numRef>
              <c:f>Sheet1!$B$2:$B$17</c:f>
              <c:numCache>
                <c:formatCode>General</c:formatCode>
                <c:ptCount val="16"/>
                <c:pt idx="0">
                  <c:v>424</c:v>
                </c:pt>
                <c:pt idx="1">
                  <c:v>76</c:v>
                </c:pt>
                <c:pt idx="2">
                  <c:v>40</c:v>
                </c:pt>
                <c:pt idx="3">
                  <c:v>35</c:v>
                </c:pt>
                <c:pt idx="4">
                  <c:v>32</c:v>
                </c:pt>
                <c:pt idx="5">
                  <c:v>27</c:v>
                </c:pt>
                <c:pt idx="6">
                  <c:v>26</c:v>
                </c:pt>
                <c:pt idx="7">
                  <c:v>20</c:v>
                </c:pt>
                <c:pt idx="8">
                  <c:v>18</c:v>
                </c:pt>
                <c:pt idx="9">
                  <c:v>18</c:v>
                </c:pt>
                <c:pt idx="10">
                  <c:v>18</c:v>
                </c:pt>
                <c:pt idx="11">
                  <c:v>14</c:v>
                </c:pt>
                <c:pt idx="12">
                  <c:v>11</c:v>
                </c:pt>
                <c:pt idx="13">
                  <c:v>10</c:v>
                </c:pt>
                <c:pt idx="14">
                  <c:v>9</c:v>
                </c:pt>
                <c:pt idx="15">
                  <c:v>4</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8759368154"/>
          <c:y val="0.0903564805275088"/>
          <c:w val="0.833437103655021"/>
          <c:h val="0.683886255924171"/>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合肥市</c:v>
                </c:pt>
                <c:pt idx="1">
                  <c:v>阜阳市</c:v>
                </c:pt>
                <c:pt idx="2">
                  <c:v>亳州市</c:v>
                </c:pt>
                <c:pt idx="3">
                  <c:v>六安市</c:v>
                </c:pt>
                <c:pt idx="4">
                  <c:v>宿州市</c:v>
                </c:pt>
                <c:pt idx="5">
                  <c:v>安庆市</c:v>
                </c:pt>
                <c:pt idx="6">
                  <c:v>淮南市</c:v>
                </c:pt>
                <c:pt idx="7">
                  <c:v>蚌埠市</c:v>
                </c:pt>
                <c:pt idx="8">
                  <c:v>滁州市</c:v>
                </c:pt>
                <c:pt idx="9">
                  <c:v>芜湖市</c:v>
                </c:pt>
                <c:pt idx="10">
                  <c:v>淮北市</c:v>
                </c:pt>
                <c:pt idx="11">
                  <c:v>宣城市</c:v>
                </c:pt>
                <c:pt idx="12">
                  <c:v>铜陵市</c:v>
                </c:pt>
                <c:pt idx="13">
                  <c:v>池州市</c:v>
                </c:pt>
                <c:pt idx="14">
                  <c:v>黄山市</c:v>
                </c:pt>
                <c:pt idx="15">
                  <c:v>马鞍山市</c:v>
                </c:pt>
              </c:strCache>
            </c:strRef>
          </c:cat>
          <c:val>
            <c:numRef>
              <c:f>Sheet1!$B$2:$B$17</c:f>
              <c:numCache>
                <c:formatCode>General</c:formatCode>
                <c:ptCount val="16"/>
                <c:pt idx="0">
                  <c:v>239</c:v>
                </c:pt>
                <c:pt idx="1">
                  <c:v>235</c:v>
                </c:pt>
                <c:pt idx="2">
                  <c:v>159</c:v>
                </c:pt>
                <c:pt idx="3">
                  <c:v>135</c:v>
                </c:pt>
                <c:pt idx="4">
                  <c:v>128</c:v>
                </c:pt>
                <c:pt idx="5">
                  <c:v>84</c:v>
                </c:pt>
                <c:pt idx="6">
                  <c:v>74</c:v>
                </c:pt>
                <c:pt idx="7">
                  <c:v>66</c:v>
                </c:pt>
                <c:pt idx="8">
                  <c:v>62</c:v>
                </c:pt>
                <c:pt idx="9">
                  <c:v>58</c:v>
                </c:pt>
                <c:pt idx="10">
                  <c:v>50</c:v>
                </c:pt>
                <c:pt idx="11">
                  <c:v>49</c:v>
                </c:pt>
                <c:pt idx="12">
                  <c:v>39</c:v>
                </c:pt>
                <c:pt idx="13">
                  <c:v>36</c:v>
                </c:pt>
                <c:pt idx="14">
                  <c:v>21</c:v>
                </c:pt>
                <c:pt idx="15">
                  <c:v>20</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合肥市</c:v>
                </c:pt>
                <c:pt idx="1">
                  <c:v>蜀山区</c:v>
                </c:pt>
                <c:pt idx="2">
                  <c:v>包河区</c:v>
                </c:pt>
                <c:pt idx="3">
                  <c:v>瑶海区</c:v>
                </c:pt>
                <c:pt idx="4">
                  <c:v>庐阳区</c:v>
                </c:pt>
                <c:pt idx="5">
                  <c:v>肥西县</c:v>
                </c:pt>
                <c:pt idx="6">
                  <c:v>经开区</c:v>
                </c:pt>
                <c:pt idx="7">
                  <c:v>高新区</c:v>
                </c:pt>
                <c:pt idx="8">
                  <c:v>肥东县</c:v>
                </c:pt>
                <c:pt idx="9">
                  <c:v>新站区</c:v>
                </c:pt>
                <c:pt idx="10">
                  <c:v>长丰县</c:v>
                </c:pt>
                <c:pt idx="11">
                  <c:v>巢湖市</c:v>
                </c:pt>
                <c:pt idx="12">
                  <c:v>庐江县</c:v>
                </c:pt>
              </c:strCache>
            </c:strRef>
          </c:cat>
          <c:val>
            <c:numRef>
              <c:f>Sheet1!$B$2:$B$14</c:f>
              <c:numCache>
                <c:formatCode>General</c:formatCode>
                <c:ptCount val="13"/>
                <c:pt idx="0">
                  <c:v>117</c:v>
                </c:pt>
                <c:pt idx="1">
                  <c:v>80</c:v>
                </c:pt>
                <c:pt idx="2">
                  <c:v>54</c:v>
                </c:pt>
                <c:pt idx="3">
                  <c:v>42</c:v>
                </c:pt>
                <c:pt idx="4">
                  <c:v>34</c:v>
                </c:pt>
                <c:pt idx="5">
                  <c:v>21</c:v>
                </c:pt>
                <c:pt idx="6">
                  <c:v>21</c:v>
                </c:pt>
                <c:pt idx="7">
                  <c:v>17</c:v>
                </c:pt>
                <c:pt idx="8">
                  <c:v>13</c:v>
                </c:pt>
                <c:pt idx="9">
                  <c:v>9</c:v>
                </c:pt>
                <c:pt idx="10">
                  <c:v>7</c:v>
                </c:pt>
                <c:pt idx="11">
                  <c:v>7</c:v>
                </c:pt>
                <c:pt idx="12">
                  <c:v>2</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8162779628748"/>
          <c:w val="0.833323290411377"/>
          <c:h val="0.610875773441218"/>
        </c:manualLayout>
      </c:layout>
      <c:lineChart>
        <c:grouping val="standard"/>
        <c:varyColors val="0"/>
        <c:ser>
          <c:idx val="0"/>
          <c:order val="0"/>
          <c:tx>
            <c:strRef>
              <c:f>Sheet1!$B$1</c:f>
              <c:strCache>
                <c:ptCount val="1"/>
                <c:pt idx="0">
                  <c:v>比例</c:v>
                </c:pt>
              </c:strCache>
            </c:strRef>
          </c:tx>
          <c:spPr>
            <a:ln w="28575" cap="rnd">
              <a:solidFill>
                <a:schemeClr val="accent1"/>
              </a:solidFill>
              <a:round/>
            </a:ln>
            <a:effectLst/>
          </c:spPr>
          <c:marker>
            <c:symbol val="none"/>
          </c:marker>
          <c:dPt>
            <c:idx val="2"/>
            <c:marker>
              <c:symbol val="none"/>
            </c:marker>
            <c:bubble3D val="0"/>
            <c:explosion val="0"/>
          </c:dPt>
          <c:dLbls>
            <c:spPr>
              <a:noFill/>
              <a:ln>
                <a:noFill/>
              </a:ln>
              <a:effectLst/>
            </c:spPr>
            <c:txPr>
              <a:bodyPr rot="0" spcFirstLastPara="0" vertOverflow="ellipsis" vert="eaVert" wrap="square" lIns="38100" tIns="19050" rIns="38100" bIns="19050" anchor="t" anchorCtr="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黄山市</c:v>
                </c:pt>
                <c:pt idx="1">
                  <c:v>合肥市</c:v>
                </c:pt>
                <c:pt idx="2">
                  <c:v>宣城市</c:v>
                </c:pt>
                <c:pt idx="3">
                  <c:v>芜湖市</c:v>
                </c:pt>
                <c:pt idx="4">
                  <c:v>阜阳市</c:v>
                </c:pt>
                <c:pt idx="5">
                  <c:v>安庆市</c:v>
                </c:pt>
                <c:pt idx="6">
                  <c:v>滁州市</c:v>
                </c:pt>
                <c:pt idx="7">
                  <c:v>六安市</c:v>
                </c:pt>
                <c:pt idx="8">
                  <c:v>铜陵市</c:v>
                </c:pt>
                <c:pt idx="9">
                  <c:v>马鞍山市</c:v>
                </c:pt>
                <c:pt idx="10">
                  <c:v>蚌埠市</c:v>
                </c:pt>
                <c:pt idx="11">
                  <c:v>亳州市</c:v>
                </c:pt>
                <c:pt idx="12">
                  <c:v>池州市</c:v>
                </c:pt>
                <c:pt idx="13">
                  <c:v>淮南市</c:v>
                </c:pt>
                <c:pt idx="14">
                  <c:v>淮北市</c:v>
                </c:pt>
                <c:pt idx="15">
                  <c:v>宿州市</c:v>
                </c:pt>
              </c:strCache>
            </c:strRef>
          </c:cat>
          <c:val>
            <c:numRef>
              <c:f>Sheet1!$B$2:$B$17</c:f>
              <c:numCache>
                <c:formatCode>0.00%</c:formatCode>
                <c:ptCount val="16"/>
                <c:pt idx="0">
                  <c:v>0.5714</c:v>
                </c:pt>
                <c:pt idx="1">
                  <c:v>0.523</c:v>
                </c:pt>
                <c:pt idx="2">
                  <c:v>0.3265</c:v>
                </c:pt>
                <c:pt idx="3">
                  <c:v>0.3103</c:v>
                </c:pt>
                <c:pt idx="4">
                  <c:v>0.2638</c:v>
                </c:pt>
                <c:pt idx="5">
                  <c:v>0.25</c:v>
                </c:pt>
                <c:pt idx="6">
                  <c:v>0.2419</c:v>
                </c:pt>
                <c:pt idx="7">
                  <c:v>0.2074</c:v>
                </c:pt>
                <c:pt idx="8">
                  <c:v>0.2051</c:v>
                </c:pt>
                <c:pt idx="9">
                  <c:v>0.2</c:v>
                </c:pt>
                <c:pt idx="10">
                  <c:v>0.197</c:v>
                </c:pt>
                <c:pt idx="11">
                  <c:v>0.195</c:v>
                </c:pt>
                <c:pt idx="12">
                  <c:v>0.1944</c:v>
                </c:pt>
                <c:pt idx="13">
                  <c:v>0.1486</c:v>
                </c:pt>
                <c:pt idx="14">
                  <c:v>0.12</c:v>
                </c:pt>
                <c:pt idx="15">
                  <c:v>0.1016</c:v>
                </c:pt>
              </c:numCache>
            </c:numRef>
          </c:val>
          <c:smooth val="0"/>
        </c:ser>
        <c:dLbls>
          <c:showLegendKey val="0"/>
          <c:showVal val="1"/>
          <c:showCatName val="0"/>
          <c:showSerName val="0"/>
          <c:showPercent val="0"/>
          <c:showBubbleSize val="0"/>
        </c:dLbls>
        <c:marker val="0"/>
        <c:smooth val="0"/>
        <c:axId val="605737016"/>
        <c:axId val="648436391"/>
      </c:line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8162779628748"/>
          <c:w val="0.833323290411377"/>
          <c:h val="0.610875773441218"/>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explosion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黄山市</c:v>
                </c:pt>
                <c:pt idx="1">
                  <c:v>合肥市</c:v>
                </c:pt>
                <c:pt idx="2">
                  <c:v>宣城市</c:v>
                </c:pt>
                <c:pt idx="3">
                  <c:v>芜湖市</c:v>
                </c:pt>
                <c:pt idx="4">
                  <c:v>阜阳市</c:v>
                </c:pt>
                <c:pt idx="5">
                  <c:v>安庆市</c:v>
                </c:pt>
                <c:pt idx="6">
                  <c:v>滁州市</c:v>
                </c:pt>
                <c:pt idx="7">
                  <c:v>六安市</c:v>
                </c:pt>
                <c:pt idx="8">
                  <c:v>铜陵市</c:v>
                </c:pt>
                <c:pt idx="9">
                  <c:v>马鞍山市</c:v>
                </c:pt>
                <c:pt idx="10">
                  <c:v>蚌埠市</c:v>
                </c:pt>
                <c:pt idx="11">
                  <c:v>亳州市</c:v>
                </c:pt>
                <c:pt idx="12">
                  <c:v>池州市</c:v>
                </c:pt>
                <c:pt idx="13">
                  <c:v>淮南市</c:v>
                </c:pt>
                <c:pt idx="14">
                  <c:v>淮北市</c:v>
                </c:pt>
                <c:pt idx="15">
                  <c:v>宿州市</c:v>
                </c:pt>
              </c:strCache>
            </c:strRef>
          </c:cat>
          <c:val>
            <c:numRef>
              <c:f>Sheet1!$B$2:$B$17</c:f>
              <c:numCache>
                <c:formatCode>General</c:formatCode>
                <c:ptCount val="16"/>
                <c:pt idx="0">
                  <c:v>12</c:v>
                </c:pt>
                <c:pt idx="1">
                  <c:v>125</c:v>
                </c:pt>
                <c:pt idx="2">
                  <c:v>16</c:v>
                </c:pt>
                <c:pt idx="3">
                  <c:v>18</c:v>
                </c:pt>
                <c:pt idx="4">
                  <c:v>62</c:v>
                </c:pt>
                <c:pt idx="5">
                  <c:v>21</c:v>
                </c:pt>
                <c:pt idx="6">
                  <c:v>15</c:v>
                </c:pt>
                <c:pt idx="7">
                  <c:v>28</c:v>
                </c:pt>
                <c:pt idx="8">
                  <c:v>8</c:v>
                </c:pt>
                <c:pt idx="9">
                  <c:v>4</c:v>
                </c:pt>
                <c:pt idx="10">
                  <c:v>13</c:v>
                </c:pt>
                <c:pt idx="11">
                  <c:v>31</c:v>
                </c:pt>
                <c:pt idx="12">
                  <c:v>7</c:v>
                </c:pt>
                <c:pt idx="13">
                  <c:v>11</c:v>
                </c:pt>
                <c:pt idx="14">
                  <c:v>6</c:v>
                </c:pt>
                <c:pt idx="15">
                  <c:v>13</c:v>
                </c:pt>
              </c:numCache>
            </c:numRef>
          </c:val>
        </c:ser>
        <c:dLbls>
          <c:showLegendKey val="0"/>
          <c:showVal val="1"/>
          <c:showCatName val="0"/>
          <c:showSerName val="0"/>
          <c:showPercent val="0"/>
          <c:showBubbleSize val="0"/>
        </c:dLbls>
        <c:gapWidth val="150"/>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5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3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80912476722532"/>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出国出境</c:v>
                </c:pt>
                <c:pt idx="1">
                  <c:v>应征入伍</c:v>
                </c:pt>
                <c:pt idx="2">
                  <c:v>待就业(不含求职中)和暂不就业</c:v>
                </c:pt>
                <c:pt idx="3">
                  <c:v>自主创业</c:v>
                </c:pt>
                <c:pt idx="4">
                  <c:v>自由职业</c:v>
                </c:pt>
                <c:pt idx="5">
                  <c:v>待就业(求职中)</c:v>
                </c:pt>
                <c:pt idx="6">
                  <c:v>内地升学（考研、专升本、二学位）</c:v>
                </c:pt>
                <c:pt idx="7">
                  <c:v>已落实就业单位</c:v>
                </c:pt>
              </c:strCache>
            </c:strRef>
          </c:cat>
          <c:val>
            <c:numRef>
              <c:f>Sheet1!$B$2:$B$9</c:f>
              <c:numCache>
                <c:formatCode>0.00%</c:formatCode>
                <c:ptCount val="8"/>
                <c:pt idx="0">
                  <c:v>0.0016</c:v>
                </c:pt>
                <c:pt idx="1">
                  <c:v>0.0204</c:v>
                </c:pt>
                <c:pt idx="2">
                  <c:v>0.0245</c:v>
                </c:pt>
                <c:pt idx="3">
                  <c:v>0.0294</c:v>
                </c:pt>
                <c:pt idx="4">
                  <c:v>0.0817</c:v>
                </c:pt>
                <c:pt idx="5">
                  <c:v>0.1266</c:v>
                </c:pt>
                <c:pt idx="6">
                  <c:v>0.3243</c:v>
                </c:pt>
                <c:pt idx="7">
                  <c:v>0.3913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8235567970205"/>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在校创业孵化支持</c:v>
                </c:pt>
                <c:pt idx="1">
                  <c:v>辅导求职策略</c:v>
                </c:pt>
                <c:pt idx="2">
                  <c:v>创业培训</c:v>
                </c:pt>
                <c:pt idx="3">
                  <c:v>辅导面试技巧</c:v>
                </c:pt>
                <c:pt idx="4">
                  <c:v>组织校园招聘活动</c:v>
                </c:pt>
                <c:pt idx="5">
                  <c:v>没有提供任何求职辅导服务</c:v>
                </c:pt>
                <c:pt idx="6">
                  <c:v>辅导简历写作</c:v>
                </c:pt>
                <c:pt idx="7">
                  <c:v>发布招聘需求与薪资信息</c:v>
                </c:pt>
                <c:pt idx="8">
                  <c:v>职业发展规划</c:v>
                </c:pt>
                <c:pt idx="9">
                  <c:v>大学生涯规划</c:v>
                </c:pt>
              </c:strCache>
            </c:strRef>
          </c:cat>
          <c:val>
            <c:numRef>
              <c:f>Sheet1!$B$2:$B$11</c:f>
              <c:numCache>
                <c:formatCode>0.00%</c:formatCode>
                <c:ptCount val="10"/>
                <c:pt idx="0">
                  <c:v>0.0033</c:v>
                </c:pt>
                <c:pt idx="1">
                  <c:v>0.0065</c:v>
                </c:pt>
                <c:pt idx="2">
                  <c:v>0.0147</c:v>
                </c:pt>
                <c:pt idx="3">
                  <c:v>0.0212</c:v>
                </c:pt>
                <c:pt idx="4">
                  <c:v>0.0245</c:v>
                </c:pt>
                <c:pt idx="5">
                  <c:v>0.0433</c:v>
                </c:pt>
                <c:pt idx="6">
                  <c:v>0.0711</c:v>
                </c:pt>
                <c:pt idx="7">
                  <c:v>0.0972</c:v>
                </c:pt>
                <c:pt idx="8">
                  <c:v>0.1822</c:v>
                </c:pt>
                <c:pt idx="9">
                  <c:v>0.5359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没有任何作用</c:v>
                </c:pt>
                <c:pt idx="1">
                  <c:v>没有太大作用</c:v>
                </c:pt>
                <c:pt idx="2">
                  <c:v>非常实用</c:v>
                </c:pt>
                <c:pt idx="3">
                  <c:v>有一些作用</c:v>
                </c:pt>
              </c:strCache>
            </c:strRef>
          </c:cat>
          <c:val>
            <c:numRef>
              <c:f>Sheet1!$B$2:$B$5</c:f>
              <c:numCache>
                <c:formatCode>0.00%</c:formatCode>
                <c:ptCount val="4"/>
                <c:pt idx="0">
                  <c:v>0.049</c:v>
                </c:pt>
                <c:pt idx="1">
                  <c:v>0.143</c:v>
                </c:pt>
                <c:pt idx="2">
                  <c:v>0.4028</c:v>
                </c:pt>
                <c:pt idx="3">
                  <c:v>0.4052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加强招聘会场地建设</c:v>
                </c:pt>
                <c:pt idx="1">
                  <c:v>加强创业教育及培训</c:v>
                </c:pt>
                <c:pt idx="2">
                  <c:v>加强职业发展规划指导</c:v>
                </c:pt>
                <c:pt idx="3">
                  <c:v>就业指导与专业教育相结合</c:v>
                </c:pt>
                <c:pt idx="4">
                  <c:v>加强求职方法技巧辅导</c:v>
                </c:pt>
                <c:pt idx="5">
                  <c:v>提供招聘企业的咨询服务</c:v>
                </c:pt>
                <c:pt idx="6">
                  <c:v>其他</c:v>
                </c:pt>
                <c:pt idx="7">
                  <c:v>开设就业指导课程和讲座</c:v>
                </c:pt>
                <c:pt idx="8">
                  <c:v>举办更多的校园招聘会</c:v>
                </c:pt>
                <c:pt idx="9">
                  <c:v>针对毕业生就业的个体咨询</c:v>
                </c:pt>
                <c:pt idx="10">
                  <c:v>提供更多的针对性就业信息</c:v>
                </c:pt>
                <c:pt idx="11">
                  <c:v>宣传解释国家和地方有关毕业生的就业政策</c:v>
                </c:pt>
              </c:strCache>
            </c:strRef>
          </c:cat>
          <c:val>
            <c:numRef>
              <c:f>Sheet1!$B$2:$B$13</c:f>
              <c:numCache>
                <c:formatCode>0.00%</c:formatCode>
                <c:ptCount val="12"/>
                <c:pt idx="0">
                  <c:v>0.0637</c:v>
                </c:pt>
                <c:pt idx="1">
                  <c:v>0.0784</c:v>
                </c:pt>
                <c:pt idx="2">
                  <c:v>0.0792</c:v>
                </c:pt>
                <c:pt idx="3">
                  <c:v>0.0833</c:v>
                </c:pt>
                <c:pt idx="4">
                  <c:v>0.0882</c:v>
                </c:pt>
                <c:pt idx="5">
                  <c:v>0.1013</c:v>
                </c:pt>
                <c:pt idx="6">
                  <c:v>0.1307</c:v>
                </c:pt>
                <c:pt idx="7">
                  <c:v>0.1446</c:v>
                </c:pt>
                <c:pt idx="8">
                  <c:v>0.2279</c:v>
                </c:pt>
                <c:pt idx="9">
                  <c:v>0.366</c:v>
                </c:pt>
                <c:pt idx="10">
                  <c:v>0.4641</c:v>
                </c:pt>
                <c:pt idx="11">
                  <c:v>0.473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开展创业培训</c:v>
                </c:pt>
                <c:pt idx="1">
                  <c:v>其他</c:v>
                </c:pt>
                <c:pt idx="2">
                  <c:v>进行求职技能培训</c:v>
                </c:pt>
                <c:pt idx="3">
                  <c:v>进行就业政策和法律指导</c:v>
                </c:pt>
                <c:pt idx="4">
                  <c:v>提供就业实习或实践机会</c:v>
                </c:pt>
                <c:pt idx="5">
                  <c:v>指导学生进行职业规划</c:v>
                </c:pt>
                <c:pt idx="6">
                  <c:v>提供专业化和个性化的就业指导</c:v>
                </c:pt>
                <c:pt idx="7">
                  <c:v>组织校园招聘会</c:v>
                </c:pt>
                <c:pt idx="8">
                  <c:v>提供准确有效的就业信息</c:v>
                </c:pt>
              </c:strCache>
            </c:strRef>
          </c:cat>
          <c:val>
            <c:numRef>
              <c:f>Sheet1!$B$2:$B$10</c:f>
              <c:numCache>
                <c:formatCode>0.00%</c:formatCode>
                <c:ptCount val="9"/>
                <c:pt idx="0">
                  <c:v>0.0727</c:v>
                </c:pt>
                <c:pt idx="1">
                  <c:v>0.1087</c:v>
                </c:pt>
                <c:pt idx="2">
                  <c:v>0.1185</c:v>
                </c:pt>
                <c:pt idx="3">
                  <c:v>0.1471</c:v>
                </c:pt>
                <c:pt idx="4">
                  <c:v>0.2116</c:v>
                </c:pt>
                <c:pt idx="5">
                  <c:v>0.2353</c:v>
                </c:pt>
                <c:pt idx="6">
                  <c:v>0.4093</c:v>
                </c:pt>
                <c:pt idx="7">
                  <c:v>0.4134</c:v>
                </c:pt>
                <c:pt idx="8">
                  <c:v>0.5776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指导教师没有起到指导作用</c:v>
                </c:pt>
                <c:pt idx="1">
                  <c:v>实习单位提供的实践操作机会少</c:v>
                </c:pt>
                <c:pt idx="2">
                  <c:v>实习实践安排时间不合理</c:v>
                </c:pt>
                <c:pt idx="3">
                  <c:v>实习实践时间太短</c:v>
                </c:pt>
                <c:pt idx="4">
                  <c:v>学校没有安排毕业实习或教学计划中没有毕业实习的学分要求</c:v>
                </c:pt>
                <c:pt idx="5">
                  <c:v>可供选择的实习单位太少</c:v>
                </c:pt>
              </c:strCache>
            </c:strRef>
          </c:cat>
          <c:val>
            <c:numRef>
              <c:f>Sheet1!$B$2:$B$7</c:f>
              <c:numCache>
                <c:formatCode>0.00%</c:formatCode>
                <c:ptCount val="6"/>
                <c:pt idx="0">
                  <c:v>0.1258</c:v>
                </c:pt>
                <c:pt idx="1">
                  <c:v>0.1634</c:v>
                </c:pt>
                <c:pt idx="2">
                  <c:v>0.1781</c:v>
                </c:pt>
                <c:pt idx="3">
                  <c:v>0.1936</c:v>
                </c:pt>
                <c:pt idx="4">
                  <c:v>0.2402</c:v>
                </c:pt>
                <c:pt idx="5">
                  <c:v>0.3268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没参与过但准备参与</c:v>
                </c:pt>
                <c:pt idx="1">
                  <c:v>不准备参与</c:v>
                </c:pt>
                <c:pt idx="2">
                  <c:v>想参与但是没有途径</c:v>
                </c:pt>
                <c:pt idx="3">
                  <c:v>在社会机构参与过</c:v>
                </c:pt>
                <c:pt idx="4">
                  <c:v>在学校参与过</c:v>
                </c:pt>
              </c:strCache>
            </c:strRef>
          </c:cat>
          <c:val>
            <c:numRef>
              <c:f>Sheet1!$B$2:$B$6</c:f>
              <c:numCache>
                <c:formatCode>0.00%</c:formatCode>
                <c:ptCount val="5"/>
                <c:pt idx="0">
                  <c:v>0.1258</c:v>
                </c:pt>
                <c:pt idx="1">
                  <c:v>0.1405</c:v>
                </c:pt>
                <c:pt idx="2">
                  <c:v>0.1454</c:v>
                </c:pt>
                <c:pt idx="3">
                  <c:v>0.2239</c:v>
                </c:pt>
                <c:pt idx="4">
                  <c:v>0.3644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61980013944"/>
          <c:y val="0.0903564805275088"/>
          <c:w val="0.833418545201023"/>
          <c:h val="0.715001030290542"/>
        </c:manualLayout>
      </c:layout>
      <c:barChart>
        <c:barDir val="col"/>
        <c:grouping val="clustered"/>
        <c:varyColors val="0"/>
        <c:ser>
          <c:idx val="2"/>
          <c:order val="0"/>
          <c:tx>
            <c:strRef>
              <c:f>Sheet1!$D$1</c:f>
              <c:strCache>
                <c:ptCount val="1"/>
                <c:pt idx="0">
                  <c:v>专科生</c:v>
                </c:pt>
              </c:strCache>
            </c:strRef>
          </c:tx>
          <c:spPr>
            <a:solidFill>
              <a:srgbClr val="4F81BD"/>
            </a:solidFill>
            <a:ln>
              <a:noFill/>
            </a:ln>
            <a:effectLst/>
          </c:spPr>
          <c:invertIfNegative val="0"/>
          <c:dPt>
            <c:idx val="1"/>
            <c:invertIfNegative val="0"/>
            <c:bubble3D val="0"/>
            <c:spPr>
              <a:solidFill>
                <a:srgbClr val="9BBB59"/>
              </a:solidFill>
              <a:ln>
                <a:noFill/>
              </a:ln>
              <a:effectLst/>
            </c:spPr>
          </c:dPt>
          <c:dPt>
            <c:idx val="2"/>
            <c:invertIfNegative val="0"/>
            <c:bubble3D val="0"/>
            <c:spPr>
              <a:solidFill>
                <a:srgbClr val="F79646"/>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男</c:v>
                </c:pt>
                <c:pt idx="1">
                  <c:v>平均</c:v>
                </c:pt>
                <c:pt idx="2">
                  <c:v>女</c:v>
                </c:pt>
              </c:strCache>
            </c:strRef>
          </c:cat>
          <c:val>
            <c:numRef>
              <c:f>Sheet1!$D$2:$D$4</c:f>
              <c:numCache>
                <c:formatCode>0.00%</c:formatCode>
                <c:ptCount val="3"/>
                <c:pt idx="0">
                  <c:v>0.9191</c:v>
                </c:pt>
                <c:pt idx="1">
                  <c:v>0.9164</c:v>
                </c:pt>
                <c:pt idx="2">
                  <c:v>0.9147</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min val="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非常严峻，根本找不到工作</c:v>
                </c:pt>
                <c:pt idx="1">
                  <c:v>较严峻，较难找到合适的工作</c:v>
                </c:pt>
                <c:pt idx="2">
                  <c:v>非常乐观，自信能找到满意的工作</c:v>
                </c:pt>
                <c:pt idx="3">
                  <c:v>不容乐观，但通过努力可以找到工作</c:v>
                </c:pt>
              </c:strCache>
            </c:strRef>
          </c:cat>
          <c:val>
            <c:numRef>
              <c:f>Sheet1!$B$2:$B$5</c:f>
              <c:numCache>
                <c:formatCode>0.00%</c:formatCode>
                <c:ptCount val="4"/>
                <c:pt idx="0">
                  <c:v>0.0547</c:v>
                </c:pt>
                <c:pt idx="1">
                  <c:v>0.2435</c:v>
                </c:pt>
                <c:pt idx="2">
                  <c:v>0.2941</c:v>
                </c:pt>
                <c:pt idx="3">
                  <c:v>0.4077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不了解</c:v>
                </c:pt>
                <c:pt idx="1">
                  <c:v>非常了解</c:v>
                </c:pt>
                <c:pt idx="2">
                  <c:v>比较理解</c:v>
                </c:pt>
                <c:pt idx="3">
                  <c:v>一般了解</c:v>
                </c:pt>
              </c:strCache>
            </c:strRef>
          </c:cat>
          <c:val>
            <c:numRef>
              <c:f>Sheet1!$B$2:$B$5</c:f>
              <c:numCache>
                <c:formatCode>0.00%</c:formatCode>
                <c:ptCount val="4"/>
                <c:pt idx="0">
                  <c:v>0.1299</c:v>
                </c:pt>
                <c:pt idx="1">
                  <c:v>0.2386</c:v>
                </c:pt>
                <c:pt idx="2">
                  <c:v>0.2753</c:v>
                </c:pt>
                <c:pt idx="3">
                  <c:v>0.3562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dPt>
          <c:dPt>
            <c:idx val="6"/>
            <c:bubble3D val="0"/>
          </c:dPt>
          <c:dLbls>
            <c:dLbl>
              <c:idx val="1"/>
              <c:layout>
                <c:manualLayout>
                  <c:x val="0.145419285142747"/>
                  <c:y val="0.006175771971496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报纸、电视、电台等</c:v>
                </c:pt>
                <c:pt idx="1">
                  <c:v>家长朋辈</c:v>
                </c:pt>
                <c:pt idx="2">
                  <c:v>就业指导课</c:v>
                </c:pt>
                <c:pt idx="3">
                  <c:v>抖音等自媒体</c:v>
                </c:pt>
                <c:pt idx="4">
                  <c:v>其他</c:v>
                </c:pt>
                <c:pt idx="5">
                  <c:v>国家和省24365大学生就业服务平台</c:v>
                </c:pt>
                <c:pt idx="6">
                  <c:v>学校的就业服务部门(校园海报宣传/短信通知/母校就业信息网/母校就业小程序/母校就业微信公众号等)</c:v>
                </c:pt>
              </c:strCache>
            </c:strRef>
          </c:cat>
          <c:val>
            <c:numRef>
              <c:f>Sheet1!$B$2:$B$8</c:f>
              <c:numCache>
                <c:formatCode>0.00%</c:formatCode>
                <c:ptCount val="7"/>
                <c:pt idx="0">
                  <c:v>0.0094</c:v>
                </c:pt>
                <c:pt idx="1">
                  <c:v>0.0675</c:v>
                </c:pt>
                <c:pt idx="2">
                  <c:v>0.0853</c:v>
                </c:pt>
                <c:pt idx="3">
                  <c:v>0.1078</c:v>
                </c:pt>
                <c:pt idx="4">
                  <c:v>0.1284</c:v>
                </c:pt>
                <c:pt idx="5">
                  <c:v>0.1462</c:v>
                </c:pt>
                <c:pt idx="6">
                  <c:v>0.4555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港澳台及外资企业</c:v>
                </c:pt>
                <c:pt idx="1">
                  <c:v>部队</c:v>
                </c:pt>
                <c:pt idx="2">
                  <c:v>民营企业</c:v>
                </c:pt>
                <c:pt idx="3">
                  <c:v>国有及集体企业</c:v>
                </c:pt>
                <c:pt idx="4">
                  <c:v>政府机关</c:v>
                </c:pt>
                <c:pt idx="5">
                  <c:v>事业单位</c:v>
                </c:pt>
                <c:pt idx="6">
                  <c:v>其他</c:v>
                </c:pt>
              </c:strCache>
            </c:strRef>
          </c:cat>
          <c:val>
            <c:numRef>
              <c:f>Sheet1!$B$2:$B$8</c:f>
              <c:numCache>
                <c:formatCode>0.00%</c:formatCode>
                <c:ptCount val="7"/>
                <c:pt idx="0">
                  <c:v>0.0126</c:v>
                </c:pt>
                <c:pt idx="1">
                  <c:v>0.0142</c:v>
                </c:pt>
                <c:pt idx="2">
                  <c:v>0.0931</c:v>
                </c:pt>
                <c:pt idx="3">
                  <c:v>0.1009</c:v>
                </c:pt>
                <c:pt idx="4">
                  <c:v>0.1372</c:v>
                </c:pt>
                <c:pt idx="5">
                  <c:v>0.306</c:v>
                </c:pt>
                <c:pt idx="6">
                  <c:v>0.336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环渤海经济圈（北京+天津+河北+山东）</c:v>
                </c:pt>
                <c:pt idx="1">
                  <c:v>珠三角经济圈（广东+香港+澳门）</c:v>
                </c:pt>
                <c:pt idx="2">
                  <c:v>其他地区</c:v>
                </c:pt>
                <c:pt idx="3">
                  <c:v>长三角(除皖)经济圈（上海+江苏+浙江）</c:v>
                </c:pt>
                <c:pt idx="4">
                  <c:v>安徽省内其他地市</c:v>
                </c:pt>
                <c:pt idx="5">
                  <c:v>合肥市</c:v>
                </c:pt>
              </c:strCache>
            </c:strRef>
          </c:cat>
          <c:val>
            <c:numRef>
              <c:f>Sheet1!$B$2:$B$7</c:f>
              <c:numCache>
                <c:formatCode>0.00%</c:formatCode>
                <c:ptCount val="6"/>
                <c:pt idx="0">
                  <c:v>0.0126</c:v>
                </c:pt>
                <c:pt idx="1">
                  <c:v>0.0174</c:v>
                </c:pt>
                <c:pt idx="2">
                  <c:v>0.1167</c:v>
                </c:pt>
                <c:pt idx="3">
                  <c:v>0.142</c:v>
                </c:pt>
                <c:pt idx="4">
                  <c:v>0.265</c:v>
                </c:pt>
                <c:pt idx="5">
                  <c:v>0.4464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dLbl>
              <c:idx val="2"/>
              <c:layout>
                <c:manualLayout>
                  <c:x val="-0.18336939807889"/>
                  <c:y val="-0.1333929133003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既是母校所在地也是生源所在地</c:v>
                </c:pt>
                <c:pt idx="1">
                  <c:v>母校所在地</c:v>
                </c:pt>
                <c:pt idx="2">
                  <c:v>生源所在地</c:v>
                </c:pt>
                <c:pt idx="3">
                  <c:v>其他地区</c:v>
                </c:pt>
              </c:strCache>
            </c:strRef>
          </c:cat>
          <c:val>
            <c:numRef>
              <c:f>Sheet1!$B$2:$B$5</c:f>
              <c:numCache>
                <c:formatCode>0.00%</c:formatCode>
                <c:ptCount val="4"/>
                <c:pt idx="0">
                  <c:v>0.1372</c:v>
                </c:pt>
                <c:pt idx="1">
                  <c:v>0.2729</c:v>
                </c:pt>
                <c:pt idx="2">
                  <c:v>0.2776</c:v>
                </c:pt>
                <c:pt idx="3">
                  <c:v>0.3123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15000-19999元</c:v>
                </c:pt>
                <c:pt idx="1">
                  <c:v>2000元以下</c:v>
                </c:pt>
                <c:pt idx="2">
                  <c:v>12000-14999元</c:v>
                </c:pt>
                <c:pt idx="3">
                  <c:v>10000-11999元</c:v>
                </c:pt>
                <c:pt idx="4">
                  <c:v>20000元及以上</c:v>
                </c:pt>
                <c:pt idx="5">
                  <c:v>8000-9999元</c:v>
                </c:pt>
                <c:pt idx="6">
                  <c:v>2000-3999元</c:v>
                </c:pt>
                <c:pt idx="7">
                  <c:v>6000-7999元</c:v>
                </c:pt>
                <c:pt idx="8">
                  <c:v>4000-5999元</c:v>
                </c:pt>
              </c:strCache>
            </c:strRef>
          </c:cat>
          <c:val>
            <c:numRef>
              <c:f>Sheet1!$B$2:$B$10</c:f>
              <c:numCache>
                <c:formatCode>0.00%</c:formatCode>
                <c:ptCount val="9"/>
                <c:pt idx="0">
                  <c:v>0.0063</c:v>
                </c:pt>
                <c:pt idx="1">
                  <c:v>0.0158</c:v>
                </c:pt>
                <c:pt idx="2">
                  <c:v>0.0174</c:v>
                </c:pt>
                <c:pt idx="3">
                  <c:v>0.0521</c:v>
                </c:pt>
                <c:pt idx="4">
                  <c:v>0.0599</c:v>
                </c:pt>
                <c:pt idx="5">
                  <c:v>0.0994</c:v>
                </c:pt>
                <c:pt idx="6">
                  <c:v>0.1136</c:v>
                </c:pt>
                <c:pt idx="7">
                  <c:v>0.2713</c:v>
                </c:pt>
                <c:pt idx="8">
                  <c:v>0.3644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校友推荐</c:v>
                </c:pt>
                <c:pt idx="1">
                  <c:v>报纸、电视、电台等</c:v>
                </c:pt>
                <c:pt idx="2">
                  <c:v>校园双选会、宣讲会</c:v>
                </c:pt>
                <c:pt idx="3">
                  <c:v>各级各类人才市场</c:v>
                </c:pt>
                <c:pt idx="4">
                  <c:v>学校老师推荐</c:v>
                </c:pt>
                <c:pt idx="5">
                  <c:v>社会化专业求职网站</c:v>
                </c:pt>
                <c:pt idx="6">
                  <c:v>其他</c:v>
                </c:pt>
                <c:pt idx="7">
                  <c:v>亲友推荐</c:v>
                </c:pt>
                <c:pt idx="8">
                  <c:v>学校的就业推荐服务</c:v>
                </c:pt>
              </c:strCache>
            </c:strRef>
          </c:cat>
          <c:val>
            <c:numRef>
              <c:f>Sheet1!$B$2:$B$10</c:f>
              <c:numCache>
                <c:formatCode>0.00%</c:formatCode>
                <c:ptCount val="9"/>
                <c:pt idx="0">
                  <c:v>0.0584</c:v>
                </c:pt>
                <c:pt idx="1">
                  <c:v>0.0599</c:v>
                </c:pt>
                <c:pt idx="2">
                  <c:v>0.1562</c:v>
                </c:pt>
                <c:pt idx="3">
                  <c:v>0.2066</c:v>
                </c:pt>
                <c:pt idx="4">
                  <c:v>0.2287</c:v>
                </c:pt>
                <c:pt idx="5">
                  <c:v>0.265</c:v>
                </c:pt>
                <c:pt idx="6">
                  <c:v>0.2776</c:v>
                </c:pt>
                <c:pt idx="7">
                  <c:v>0.2823</c:v>
                </c:pt>
                <c:pt idx="8">
                  <c:v>0.4211</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dLbl>
              <c:idx val="2"/>
              <c:layout>
                <c:manualLayout>
                  <c:x val="0.00381848938524885"/>
                  <c:y val="-0.026508995580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0716783415016913"/>
                  <c:y val="0.01021830724033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11-20份</c:v>
                </c:pt>
                <c:pt idx="1">
                  <c:v>20份以上</c:v>
                </c:pt>
                <c:pt idx="2">
                  <c:v>6-10份</c:v>
                </c:pt>
                <c:pt idx="3">
                  <c:v>0（没有投过简历）</c:v>
                </c:pt>
                <c:pt idx="4">
                  <c:v>1-5份</c:v>
                </c:pt>
              </c:strCache>
            </c:strRef>
          </c:cat>
          <c:val>
            <c:numRef>
              <c:f>Sheet1!$B$2:$B$6</c:f>
              <c:numCache>
                <c:formatCode>0.00%</c:formatCode>
                <c:ptCount val="5"/>
                <c:pt idx="0">
                  <c:v>0.0584</c:v>
                </c:pt>
                <c:pt idx="1">
                  <c:v>0.1262</c:v>
                </c:pt>
                <c:pt idx="2">
                  <c:v>0.1546</c:v>
                </c:pt>
                <c:pt idx="3">
                  <c:v>0.1593</c:v>
                </c:pt>
                <c:pt idx="4">
                  <c:v>0.5016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dLbl>
              <c:idx val="1"/>
              <c:layout>
                <c:manualLayout>
                  <c:x val="0.11765347964568"/>
                  <c:y val="0.05486935866983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673984774506704"/>
                  <c:y val="0.13858675309947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139952477320359"/>
                  <c:y val="-0.13460572476695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6-10次</c:v>
                </c:pt>
                <c:pt idx="1">
                  <c:v>10次以上</c:v>
                </c:pt>
                <c:pt idx="2">
                  <c:v>1次</c:v>
                </c:pt>
                <c:pt idx="3">
                  <c:v>2-5次</c:v>
                </c:pt>
                <c:pt idx="4">
                  <c:v>0（到目前为止，没有参加过）</c:v>
                </c:pt>
              </c:strCache>
            </c:strRef>
          </c:cat>
          <c:val>
            <c:numRef>
              <c:f>Sheet1!$B$2:$B$6</c:f>
              <c:numCache>
                <c:formatCode>0.00%</c:formatCode>
                <c:ptCount val="5"/>
                <c:pt idx="0">
                  <c:v>0.0268</c:v>
                </c:pt>
                <c:pt idx="1">
                  <c:v>0.0268</c:v>
                </c:pt>
                <c:pt idx="2">
                  <c:v>0.1688</c:v>
                </c:pt>
                <c:pt idx="3">
                  <c:v>0.2098</c:v>
                </c:pt>
                <c:pt idx="4">
                  <c:v>0.5678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863072314934"/>
          <c:w val="0.833379694019471"/>
          <c:h val="0.680979888746256"/>
        </c:manualLayout>
      </c:layout>
      <c:barChart>
        <c:barDir val="col"/>
        <c:grouping val="clustered"/>
        <c:varyColors val="0"/>
        <c:ser>
          <c:idx val="0"/>
          <c:order val="0"/>
          <c:tx>
            <c:strRef>
              <c:f>Sheet1!$B$1</c:f>
              <c:strCache>
                <c:ptCount val="1"/>
                <c:pt idx="0">
                  <c:v>去向落实率</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Sheet1!$B$2:$B$6</c:f>
              <c:numCache>
                <c:formatCode>0.00%</c:formatCode>
                <c:ptCount val="5"/>
                <c:pt idx="0">
                  <c:v>0.934</c:v>
                </c:pt>
                <c:pt idx="1">
                  <c:v>0.885</c:v>
                </c:pt>
                <c:pt idx="2">
                  <c:v>0.8988</c:v>
                </c:pt>
                <c:pt idx="3">
                  <c:v>0.9239</c:v>
                </c:pt>
                <c:pt idx="4">
                  <c:v>0.9131</c:v>
                </c:pt>
              </c:numCache>
            </c:numRef>
          </c:val>
        </c:ser>
        <c:dLbls>
          <c:showLegendKey val="0"/>
          <c:showVal val="0"/>
          <c:showCatName val="0"/>
          <c:showSerName val="0"/>
          <c:showPercent val="0"/>
          <c:showBubbleSize val="0"/>
        </c:dLbls>
        <c:gapWidth val="18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in val="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dLbl>
              <c:idx val="4"/>
              <c:layout>
                <c:manualLayout>
                  <c:x val="0.0058387105102378"/>
                  <c:y val="0.032451261074314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10个以上</c:v>
                </c:pt>
                <c:pt idx="1">
                  <c:v>6-10个</c:v>
                </c:pt>
                <c:pt idx="2">
                  <c:v>0（到目前为止，没有面试过）</c:v>
                </c:pt>
                <c:pt idx="3">
                  <c:v>1个</c:v>
                </c:pt>
                <c:pt idx="4">
                  <c:v>2-5个</c:v>
                </c:pt>
              </c:strCache>
            </c:strRef>
          </c:cat>
          <c:val>
            <c:numRef>
              <c:f>Sheet1!$B$2:$B$6</c:f>
              <c:numCache>
                <c:formatCode>0.00%</c:formatCode>
                <c:ptCount val="5"/>
                <c:pt idx="0">
                  <c:v>0.1025</c:v>
                </c:pt>
                <c:pt idx="1">
                  <c:v>0.1041</c:v>
                </c:pt>
                <c:pt idx="2">
                  <c:v>0.1735</c:v>
                </c:pt>
                <c:pt idx="3">
                  <c:v>0.2129</c:v>
                </c:pt>
                <c:pt idx="4">
                  <c:v>0.4069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dLbl>
              <c:idx val="4"/>
              <c:layout>
                <c:manualLayout>
                  <c:x val="-0.0528299992684541"/>
                  <c:y val="0.070976963557070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3个</c:v>
                </c:pt>
                <c:pt idx="1">
                  <c:v>3个以上</c:v>
                </c:pt>
                <c:pt idx="2">
                  <c:v>0（到目前为止，还没有收到Offer）</c:v>
                </c:pt>
                <c:pt idx="3">
                  <c:v>2个</c:v>
                </c:pt>
                <c:pt idx="4">
                  <c:v>1个</c:v>
                </c:pt>
              </c:strCache>
            </c:strRef>
          </c:cat>
          <c:val>
            <c:numRef>
              <c:f>Sheet1!$B$2:$B$6</c:f>
              <c:numCache>
                <c:formatCode>0.00%</c:formatCode>
                <c:ptCount val="5"/>
                <c:pt idx="0">
                  <c:v>0.1073</c:v>
                </c:pt>
                <c:pt idx="1">
                  <c:v>0.164</c:v>
                </c:pt>
                <c:pt idx="2">
                  <c:v>0.2019</c:v>
                </c:pt>
                <c:pt idx="3">
                  <c:v>0.2271</c:v>
                </c:pt>
                <c:pt idx="4">
                  <c:v>0.2997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4000-5000元</c:v>
                </c:pt>
                <c:pt idx="1">
                  <c:v>&gt;5000元</c:v>
                </c:pt>
                <c:pt idx="2">
                  <c:v>3000-4000元</c:v>
                </c:pt>
                <c:pt idx="3">
                  <c:v>2000-3000元</c:v>
                </c:pt>
                <c:pt idx="4">
                  <c:v>1000-2000元</c:v>
                </c:pt>
                <c:pt idx="5">
                  <c:v>≤1000元</c:v>
                </c:pt>
              </c:strCache>
            </c:strRef>
          </c:cat>
          <c:val>
            <c:numRef>
              <c:f>Sheet1!$B$2:$B$7</c:f>
              <c:numCache>
                <c:formatCode>0.00%</c:formatCode>
                <c:ptCount val="6"/>
                <c:pt idx="0">
                  <c:v>0.0426</c:v>
                </c:pt>
                <c:pt idx="1">
                  <c:v>0.0473</c:v>
                </c:pt>
                <c:pt idx="2">
                  <c:v>0.0836</c:v>
                </c:pt>
                <c:pt idx="3">
                  <c:v>0.142</c:v>
                </c:pt>
                <c:pt idx="4">
                  <c:v>0.2271</c:v>
                </c:pt>
                <c:pt idx="5">
                  <c:v>0.4574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dLbl>
              <c:idx val="1"/>
              <c:layout>
                <c:manualLayout>
                  <c:x val="0.0945888987146701"/>
                  <c:y val="0.04397939362886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230105518707066"/>
                  <c:y val="-0.24593759437835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四个月内</c:v>
                </c:pt>
                <c:pt idx="1">
                  <c:v>四个月以上</c:v>
                </c:pt>
                <c:pt idx="2">
                  <c:v>三个月内</c:v>
                </c:pt>
                <c:pt idx="3">
                  <c:v>两个月内</c:v>
                </c:pt>
                <c:pt idx="4">
                  <c:v>一个月内</c:v>
                </c:pt>
              </c:strCache>
            </c:strRef>
          </c:cat>
          <c:val>
            <c:numRef>
              <c:f>Sheet1!$B$2:$B$6</c:f>
              <c:numCache>
                <c:formatCode>0.00%</c:formatCode>
                <c:ptCount val="5"/>
                <c:pt idx="0">
                  <c:v>0.0284</c:v>
                </c:pt>
                <c:pt idx="1">
                  <c:v>0.0442</c:v>
                </c:pt>
                <c:pt idx="2">
                  <c:v>0.1088</c:v>
                </c:pt>
                <c:pt idx="3">
                  <c:v>0.1767</c:v>
                </c:pt>
                <c:pt idx="4">
                  <c:v>0.642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人际关系</c:v>
                </c:pt>
                <c:pt idx="1">
                  <c:v>单位知名度</c:v>
                </c:pt>
                <c:pt idx="2">
                  <c:v>其他</c:v>
                </c:pt>
                <c:pt idx="3">
                  <c:v>工作环境、强度、自由度等</c:v>
                </c:pt>
                <c:pt idx="4">
                  <c:v>单位性质(国企、机关事业、三资、民营等)</c:v>
                </c:pt>
                <c:pt idx="5">
                  <c:v>专业对口</c:v>
                </c:pt>
                <c:pt idx="6">
                  <c:v>符合个人性格、兴趣爱好</c:v>
                </c:pt>
                <c:pt idx="7">
                  <c:v>工作稳定性</c:v>
                </c:pt>
                <c:pt idx="8">
                  <c:v>薪资福利</c:v>
                </c:pt>
                <c:pt idx="9">
                  <c:v>行业前景</c:v>
                </c:pt>
                <c:pt idx="10">
                  <c:v>个人发展前景</c:v>
                </c:pt>
                <c:pt idx="11">
                  <c:v>地理位置(经济状况(经济发展水平)、离家距离、大城市(城市规模)等)</c:v>
                </c:pt>
              </c:strCache>
            </c:strRef>
          </c:cat>
          <c:val>
            <c:numRef>
              <c:f>Sheet1!$B$2:$B$13</c:f>
              <c:numCache>
                <c:formatCode>0.00%</c:formatCode>
                <c:ptCount val="12"/>
                <c:pt idx="0">
                  <c:v>0.03</c:v>
                </c:pt>
                <c:pt idx="1">
                  <c:v>0.0536</c:v>
                </c:pt>
                <c:pt idx="2">
                  <c:v>0.0899</c:v>
                </c:pt>
                <c:pt idx="3">
                  <c:v>0.0994</c:v>
                </c:pt>
                <c:pt idx="4">
                  <c:v>0.1057</c:v>
                </c:pt>
                <c:pt idx="5">
                  <c:v>0.1199</c:v>
                </c:pt>
                <c:pt idx="6">
                  <c:v>0.1577</c:v>
                </c:pt>
                <c:pt idx="7">
                  <c:v>0.1672</c:v>
                </c:pt>
                <c:pt idx="8">
                  <c:v>0.2192</c:v>
                </c:pt>
                <c:pt idx="9">
                  <c:v>0.2981</c:v>
                </c:pt>
                <c:pt idx="10">
                  <c:v>0.5016</c:v>
                </c:pt>
                <c:pt idx="11">
                  <c:v>0.5662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导师知名度</c:v>
                </c:pt>
                <c:pt idx="1">
                  <c:v>性别</c:v>
                </c:pt>
                <c:pt idx="2">
                  <c:v>外语、计算机等通用技能等级</c:v>
                </c:pt>
                <c:pt idx="3">
                  <c:v>校友资源</c:v>
                </c:pt>
                <c:pt idx="4">
                  <c:v>家庭社会关系</c:v>
                </c:pt>
                <c:pt idx="5">
                  <c:v>外表形象</c:v>
                </c:pt>
                <c:pt idx="6">
                  <c:v>其他</c:v>
                </c:pt>
                <c:pt idx="7">
                  <c:v>沟通表达能力</c:v>
                </c:pt>
                <c:pt idx="8">
                  <c:v>实践操作技能</c:v>
                </c:pt>
                <c:pt idx="9">
                  <c:v>相关技能证书</c:v>
                </c:pt>
                <c:pt idx="10">
                  <c:v>学校知名度</c:v>
                </c:pt>
                <c:pt idx="11">
                  <c:v>学科专业优势</c:v>
                </c:pt>
                <c:pt idx="12">
                  <c:v>专业知识水平</c:v>
                </c:pt>
                <c:pt idx="13">
                  <c:v>实习实践经历</c:v>
                </c:pt>
              </c:strCache>
            </c:strRef>
          </c:cat>
          <c:val>
            <c:numRef>
              <c:f>Sheet1!$B$2:$B$15</c:f>
              <c:numCache>
                <c:formatCode>0.00%</c:formatCode>
                <c:ptCount val="14"/>
                <c:pt idx="0">
                  <c:v>0.0095</c:v>
                </c:pt>
                <c:pt idx="1">
                  <c:v>0.0095</c:v>
                </c:pt>
                <c:pt idx="2">
                  <c:v>0.011</c:v>
                </c:pt>
                <c:pt idx="3">
                  <c:v>0.0205</c:v>
                </c:pt>
                <c:pt idx="4">
                  <c:v>0.0237</c:v>
                </c:pt>
                <c:pt idx="5">
                  <c:v>0.0946</c:v>
                </c:pt>
                <c:pt idx="6">
                  <c:v>0.1467</c:v>
                </c:pt>
                <c:pt idx="7">
                  <c:v>0.1562</c:v>
                </c:pt>
                <c:pt idx="8">
                  <c:v>0.1719</c:v>
                </c:pt>
                <c:pt idx="9">
                  <c:v>0.1735</c:v>
                </c:pt>
                <c:pt idx="10">
                  <c:v>0.2224</c:v>
                </c:pt>
                <c:pt idx="11">
                  <c:v>0.3107</c:v>
                </c:pt>
                <c:pt idx="12">
                  <c:v>0.3549</c:v>
                </c:pt>
                <c:pt idx="13">
                  <c:v>0.5016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外表形象</c:v>
                </c:pt>
                <c:pt idx="1">
                  <c:v>遭遇就业歧视</c:v>
                </c:pt>
                <c:pt idx="2">
                  <c:v>学校知名度</c:v>
                </c:pt>
                <c:pt idx="3">
                  <c:v>不知道什么工作适合自己</c:v>
                </c:pt>
                <c:pt idx="4">
                  <c:v>学习成绩不佳</c:v>
                </c:pt>
                <c:pt idx="5">
                  <c:v>其他</c:v>
                </c:pt>
                <c:pt idx="6">
                  <c:v>缺乏良好的人脉资源</c:v>
                </c:pt>
                <c:pt idx="7">
                  <c:v>缺乏求职方法技巧</c:v>
                </c:pt>
                <c:pt idx="8">
                  <c:v>专业知识与能力不足</c:v>
                </c:pt>
                <c:pt idx="9">
                  <c:v>适合自己的招聘职位太少</c:v>
                </c:pt>
                <c:pt idx="10">
                  <c:v>缺乏实践经验</c:v>
                </c:pt>
              </c:strCache>
            </c:strRef>
          </c:cat>
          <c:val>
            <c:numRef>
              <c:f>Sheet1!$B$2:$B$12</c:f>
              <c:numCache>
                <c:formatCode>0.00%</c:formatCode>
                <c:ptCount val="11"/>
                <c:pt idx="0">
                  <c:v>0.0174</c:v>
                </c:pt>
                <c:pt idx="1">
                  <c:v>0.0284</c:v>
                </c:pt>
                <c:pt idx="2">
                  <c:v>0.0631</c:v>
                </c:pt>
                <c:pt idx="3">
                  <c:v>0.112</c:v>
                </c:pt>
                <c:pt idx="4">
                  <c:v>0.1656</c:v>
                </c:pt>
                <c:pt idx="5">
                  <c:v>0.1735</c:v>
                </c:pt>
                <c:pt idx="6">
                  <c:v>0.1987</c:v>
                </c:pt>
                <c:pt idx="7">
                  <c:v>0.235</c:v>
                </c:pt>
                <c:pt idx="8">
                  <c:v>0.2965</c:v>
                </c:pt>
                <c:pt idx="9">
                  <c:v>0.336</c:v>
                </c:pt>
                <c:pt idx="10">
                  <c:v>0.4621</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报纸、电视、电台等</c:v>
                </c:pt>
                <c:pt idx="1">
                  <c:v>校友推荐</c:v>
                </c:pt>
                <c:pt idx="2">
                  <c:v>学校老师推荐</c:v>
                </c:pt>
                <c:pt idx="3">
                  <c:v>校园双选会、宣讲会</c:v>
                </c:pt>
                <c:pt idx="4">
                  <c:v>人才市场</c:v>
                </c:pt>
                <c:pt idx="5">
                  <c:v>学校的就业推荐服务</c:v>
                </c:pt>
                <c:pt idx="6">
                  <c:v>社会化专业求职网站</c:v>
                </c:pt>
                <c:pt idx="7">
                  <c:v>亲友推荐</c:v>
                </c:pt>
                <c:pt idx="8">
                  <c:v>其他</c:v>
                </c:pt>
              </c:strCache>
            </c:strRef>
          </c:cat>
          <c:val>
            <c:numRef>
              <c:f>Sheet1!$B$2:$B$10</c:f>
              <c:numCache>
                <c:formatCode>0.00%</c:formatCode>
                <c:ptCount val="9"/>
                <c:pt idx="0">
                  <c:v>0.0146</c:v>
                </c:pt>
                <c:pt idx="1">
                  <c:v>0.0292</c:v>
                </c:pt>
                <c:pt idx="2">
                  <c:v>0.0355</c:v>
                </c:pt>
                <c:pt idx="3">
                  <c:v>0.0397</c:v>
                </c:pt>
                <c:pt idx="4">
                  <c:v>0.0752</c:v>
                </c:pt>
                <c:pt idx="5">
                  <c:v>0.1378</c:v>
                </c:pt>
                <c:pt idx="6">
                  <c:v>0.1837</c:v>
                </c:pt>
                <c:pt idx="7">
                  <c:v>0.2255</c:v>
                </c:pt>
                <c:pt idx="8">
                  <c:v>0.2589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港澳台及外资企业</c:v>
                </c:pt>
                <c:pt idx="1">
                  <c:v>部队</c:v>
                </c:pt>
                <c:pt idx="2">
                  <c:v>政府机关</c:v>
                </c:pt>
                <c:pt idx="3">
                  <c:v>国有及集体企业</c:v>
                </c:pt>
                <c:pt idx="4">
                  <c:v>事业单位</c:v>
                </c:pt>
                <c:pt idx="5">
                  <c:v>民营企业</c:v>
                </c:pt>
                <c:pt idx="6">
                  <c:v>其他</c:v>
                </c:pt>
              </c:strCache>
            </c:strRef>
          </c:cat>
          <c:val>
            <c:numRef>
              <c:f>Sheet1!$B$2:$B$8</c:f>
              <c:numCache>
                <c:formatCode>0.00%</c:formatCode>
                <c:ptCount val="7"/>
                <c:pt idx="0">
                  <c:v>0.0146</c:v>
                </c:pt>
                <c:pt idx="1">
                  <c:v>0.0146</c:v>
                </c:pt>
                <c:pt idx="2">
                  <c:v>0.0501</c:v>
                </c:pt>
                <c:pt idx="3">
                  <c:v>0.071</c:v>
                </c:pt>
                <c:pt idx="4">
                  <c:v>0.1065</c:v>
                </c:pt>
                <c:pt idx="5">
                  <c:v>0.3382</c:v>
                </c:pt>
                <c:pt idx="6">
                  <c:v>0.405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109869646182"/>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珠三角经济圈（广东+香港+澳门）</c:v>
                </c:pt>
                <c:pt idx="1">
                  <c:v>环渤海经济圈（北京+天津+河北+山东）</c:v>
                </c:pt>
                <c:pt idx="2">
                  <c:v>其他地区</c:v>
                </c:pt>
                <c:pt idx="3">
                  <c:v>长三角(除皖)经济圈（上海+江苏+浙江）</c:v>
                </c:pt>
                <c:pt idx="4">
                  <c:v>安徽省内其他地市</c:v>
                </c:pt>
                <c:pt idx="5">
                  <c:v>合肥市</c:v>
                </c:pt>
              </c:strCache>
            </c:strRef>
          </c:cat>
          <c:val>
            <c:numRef>
              <c:f>Sheet1!$B$2:$B$7</c:f>
              <c:numCache>
                <c:formatCode>0.00%</c:formatCode>
                <c:ptCount val="6"/>
                <c:pt idx="0">
                  <c:v>0.0167</c:v>
                </c:pt>
                <c:pt idx="1">
                  <c:v>0.0271</c:v>
                </c:pt>
                <c:pt idx="2">
                  <c:v>0.1044</c:v>
                </c:pt>
                <c:pt idx="3">
                  <c:v>0.1211</c:v>
                </c:pt>
                <c:pt idx="4">
                  <c:v>0.2839</c:v>
                </c:pt>
                <c:pt idx="5">
                  <c:v>0.4468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毕业去向落实率</c:v>
                </c:pt>
                <c:pt idx="1">
                  <c:v>签订协议和劳动合同就业率</c:v>
                </c:pt>
                <c:pt idx="2">
                  <c:v>灵活就业率</c:v>
                </c:pt>
                <c:pt idx="3">
                  <c:v>创业率</c:v>
                </c:pt>
                <c:pt idx="4">
                  <c:v>升学率(含出国留学)</c:v>
                </c:pt>
                <c:pt idx="5">
                  <c:v>暂不就业率</c:v>
                </c:pt>
                <c:pt idx="6">
                  <c:v>待就业率</c:v>
                </c:pt>
                <c:pt idx="7">
                  <c:v>实际就业率</c:v>
                </c:pt>
              </c:strCache>
            </c:strRef>
          </c:cat>
          <c:val>
            <c:numRef>
              <c:f>Sheet1!$B$2:$B$9</c:f>
              <c:numCache>
                <c:formatCode>0.00%</c:formatCode>
                <c:ptCount val="8"/>
                <c:pt idx="0">
                  <c:v>0.9164</c:v>
                </c:pt>
                <c:pt idx="1">
                  <c:v>0.6186</c:v>
                </c:pt>
                <c:pt idx="2">
                  <c:v>0.0256</c:v>
                </c:pt>
                <c:pt idx="3">
                  <c:v>0.0047</c:v>
                </c:pt>
                <c:pt idx="4">
                  <c:v>0.2675</c:v>
                </c:pt>
                <c:pt idx="5">
                  <c:v>0.0121</c:v>
                </c:pt>
                <c:pt idx="6">
                  <c:v>0.0714</c:v>
                </c:pt>
                <c:pt idx="7">
                  <c:v>0.6253</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既是母校所在地也是生源所在地</c:v>
                </c:pt>
                <c:pt idx="1">
                  <c:v>生源所在地</c:v>
                </c:pt>
                <c:pt idx="2">
                  <c:v>其他地区</c:v>
                </c:pt>
                <c:pt idx="3">
                  <c:v>母校所在地</c:v>
                </c:pt>
              </c:strCache>
            </c:strRef>
          </c:cat>
          <c:val>
            <c:numRef>
              <c:f>Sheet1!$B$2:$B$5</c:f>
              <c:numCache>
                <c:formatCode>0.00%</c:formatCode>
                <c:ptCount val="4"/>
                <c:pt idx="0">
                  <c:v>0.0981</c:v>
                </c:pt>
                <c:pt idx="1">
                  <c:v>0.2651</c:v>
                </c:pt>
                <c:pt idx="2">
                  <c:v>0.3027</c:v>
                </c:pt>
                <c:pt idx="3">
                  <c:v>0.334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15000-19999元</c:v>
                </c:pt>
                <c:pt idx="1">
                  <c:v>12000-14999元</c:v>
                </c:pt>
                <c:pt idx="2">
                  <c:v>10000-11999元</c:v>
                </c:pt>
                <c:pt idx="3">
                  <c:v>20000元及以上</c:v>
                </c:pt>
                <c:pt idx="4">
                  <c:v>8000-9999元</c:v>
                </c:pt>
                <c:pt idx="5">
                  <c:v>2000元以下</c:v>
                </c:pt>
                <c:pt idx="6">
                  <c:v>6000-7999元</c:v>
                </c:pt>
                <c:pt idx="7">
                  <c:v>4000-5999元</c:v>
                </c:pt>
                <c:pt idx="8">
                  <c:v>2000-3999元</c:v>
                </c:pt>
              </c:strCache>
            </c:strRef>
          </c:cat>
          <c:val>
            <c:numRef>
              <c:f>Sheet1!$B$2:$B$10</c:f>
              <c:numCache>
                <c:formatCode>0.00%</c:formatCode>
                <c:ptCount val="9"/>
                <c:pt idx="0">
                  <c:v>0.0021</c:v>
                </c:pt>
                <c:pt idx="1">
                  <c:v>0.0104</c:v>
                </c:pt>
                <c:pt idx="2">
                  <c:v>0.0209</c:v>
                </c:pt>
                <c:pt idx="3">
                  <c:v>0.023</c:v>
                </c:pt>
                <c:pt idx="4">
                  <c:v>0.0397</c:v>
                </c:pt>
                <c:pt idx="5">
                  <c:v>0.0877</c:v>
                </c:pt>
                <c:pt idx="6">
                  <c:v>0.0981</c:v>
                </c:pt>
                <c:pt idx="7">
                  <c:v>0.3215</c:v>
                </c:pt>
                <c:pt idx="8">
                  <c:v>0.3967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Lbls>
            <c:dLbl>
              <c:idx val="2"/>
              <c:layout>
                <c:manualLayout>
                  <c:x val="-0.0858485331791383"/>
                  <c:y val="-0.27471331708693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无毕业实习单位</c:v>
                </c:pt>
                <c:pt idx="1">
                  <c:v>否</c:v>
                </c:pt>
                <c:pt idx="2">
                  <c:v>是</c:v>
                </c:pt>
              </c:strCache>
            </c:strRef>
          </c:cat>
          <c:val>
            <c:numRef>
              <c:f>Sheet1!$B$2:$B$4</c:f>
              <c:numCache>
                <c:formatCode>0.00%</c:formatCode>
                <c:ptCount val="3"/>
                <c:pt idx="0">
                  <c:v>0.0647</c:v>
                </c:pt>
                <c:pt idx="1">
                  <c:v>0.2693</c:v>
                </c:pt>
                <c:pt idx="2">
                  <c:v>0.666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缺少直接主管的指导和关怀</c:v>
                </c:pt>
                <c:pt idx="1">
                  <c:v>缺乏职业安全感</c:v>
                </c:pt>
                <c:pt idx="2">
                  <c:v>对单位管理制度和文化不适应</c:v>
                </c:pt>
                <c:pt idx="3">
                  <c:v>工作要求高，压力大</c:v>
                </c:pt>
                <c:pt idx="4">
                  <c:v>薪资福利偏低</c:v>
                </c:pt>
                <c:pt idx="5">
                  <c:v>想改变职业或行业</c:v>
                </c:pt>
                <c:pt idx="6">
                  <c:v>个人发展空间不够</c:v>
                </c:pt>
              </c:strCache>
            </c:strRef>
          </c:cat>
          <c:val>
            <c:numRef>
              <c:f>Sheet1!$B$2:$B$8</c:f>
              <c:numCache>
                <c:formatCode>0.00%</c:formatCode>
                <c:ptCount val="7"/>
                <c:pt idx="0">
                  <c:v>0.0305</c:v>
                </c:pt>
                <c:pt idx="1">
                  <c:v>0.0763</c:v>
                </c:pt>
                <c:pt idx="2">
                  <c:v>0.1374</c:v>
                </c:pt>
                <c:pt idx="3">
                  <c:v>0.1756</c:v>
                </c:pt>
                <c:pt idx="4">
                  <c:v>0.3588</c:v>
                </c:pt>
                <c:pt idx="5">
                  <c:v>0.4198</c:v>
                </c:pt>
                <c:pt idx="6">
                  <c:v>0.4656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不相关</c:v>
                </c:pt>
                <c:pt idx="1">
                  <c:v>相关</c:v>
                </c:pt>
              </c:strCache>
            </c:strRef>
          </c:cat>
          <c:val>
            <c:numRef>
              <c:f>Sheet1!$B$2:$B$3</c:f>
              <c:numCache>
                <c:formatCode>0.00%</c:formatCode>
                <c:ptCount val="2"/>
                <c:pt idx="0">
                  <c:v>0.4322</c:v>
                </c:pt>
                <c:pt idx="1">
                  <c:v>0.5678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dPt>
          <c:dLbls>
            <c:dLbl>
              <c:idx val="4"/>
              <c:layout>
                <c:manualLayout>
                  <c:x val="-0.136893656716418"/>
                  <c:y val="-0.044893111638954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工作环境更好</c:v>
                </c:pt>
                <c:pt idx="1">
                  <c:v>家庭原因</c:v>
                </c:pt>
                <c:pt idx="2">
                  <c:v>收入更高</c:v>
                </c:pt>
                <c:pt idx="3">
                  <c:v>更符合我的兴趣爱好</c:v>
                </c:pt>
                <c:pt idx="4">
                  <c:v>与专业相关的工作很难找</c:v>
                </c:pt>
                <c:pt idx="5">
                  <c:v>其他</c:v>
                </c:pt>
              </c:strCache>
            </c:strRef>
          </c:cat>
          <c:val>
            <c:numRef>
              <c:f>Sheet1!$B$2:$B$7</c:f>
              <c:numCache>
                <c:formatCode>0.00%</c:formatCode>
                <c:ptCount val="6"/>
                <c:pt idx="0">
                  <c:v>0.0625</c:v>
                </c:pt>
                <c:pt idx="1">
                  <c:v>0.0817</c:v>
                </c:pt>
                <c:pt idx="2">
                  <c:v>0.1346</c:v>
                </c:pt>
                <c:pt idx="3">
                  <c:v>0.1346</c:v>
                </c:pt>
                <c:pt idx="4">
                  <c:v>0.2596</c:v>
                </c:pt>
                <c:pt idx="5">
                  <c:v>0.3269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不适应</c:v>
                </c:pt>
                <c:pt idx="1">
                  <c:v>适应</c:v>
                </c:pt>
              </c:strCache>
            </c:strRef>
          </c:cat>
          <c:val>
            <c:numRef>
              <c:f>Sheet1!$B$2:$B$3</c:f>
              <c:numCache>
                <c:formatCode>0.00%</c:formatCode>
                <c:ptCount val="2"/>
                <c:pt idx="0">
                  <c:v>0.0438</c:v>
                </c:pt>
                <c:pt idx="1">
                  <c:v>0.9562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dPt>
          <c:dPt>
            <c:idx val="6"/>
            <c:bubble3D val="0"/>
          </c:dPt>
          <c:dLbls>
            <c:dLbl>
              <c:idx val="0"/>
              <c:layout>
                <c:manualLayout>
                  <c:x val="-0.144939365671642"/>
                  <c:y val="0.006175771971496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要求较强的计算机和外语能力</c:v>
                </c:pt>
                <c:pt idx="1">
                  <c:v>较强的专业技术要求</c:v>
                </c:pt>
                <c:pt idx="2">
                  <c:v>要求较强的文字和语言表达能力</c:v>
                </c:pt>
                <c:pt idx="3">
                  <c:v>人际关系处理不好</c:v>
                </c:pt>
                <c:pt idx="4">
                  <c:v>学校所学知识不能满足工作需求</c:v>
                </c:pt>
                <c:pt idx="5">
                  <c:v>学习能力不能满足工作要求</c:v>
                </c:pt>
                <c:pt idx="6">
                  <c:v>工作要求高，压力大</c:v>
                </c:pt>
              </c:strCache>
            </c:strRef>
          </c:cat>
          <c:val>
            <c:numRef>
              <c:f>Sheet1!$B$2:$B$8</c:f>
              <c:numCache>
                <c:formatCode>0.00%</c:formatCode>
                <c:ptCount val="7"/>
                <c:pt idx="0">
                  <c:v>0</c:v>
                </c:pt>
                <c:pt idx="1">
                  <c:v>0.087</c:v>
                </c:pt>
                <c:pt idx="2">
                  <c:v>0.087</c:v>
                </c:pt>
                <c:pt idx="3">
                  <c:v>0.1304</c:v>
                </c:pt>
                <c:pt idx="4">
                  <c:v>0.1739</c:v>
                </c:pt>
                <c:pt idx="5">
                  <c:v>0.1739</c:v>
                </c:pt>
                <c:pt idx="6">
                  <c:v>0.3478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4个</c:v>
                </c:pt>
                <c:pt idx="1">
                  <c:v>3个</c:v>
                </c:pt>
                <c:pt idx="2">
                  <c:v>2个</c:v>
                </c:pt>
                <c:pt idx="3">
                  <c:v>1个</c:v>
                </c:pt>
              </c:strCache>
            </c:strRef>
          </c:cat>
          <c:val>
            <c:numRef>
              <c:f>Sheet1!$B$2:$B$5</c:f>
              <c:numCache>
                <c:formatCode>0.00%</c:formatCode>
                <c:ptCount val="4"/>
                <c:pt idx="0">
                  <c:v>0.0438</c:v>
                </c:pt>
                <c:pt idx="1">
                  <c:v>0.096</c:v>
                </c:pt>
                <c:pt idx="2">
                  <c:v>0.3027</c:v>
                </c:pt>
                <c:pt idx="3">
                  <c:v>0.5574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dLbl>
              <c:idx val="1"/>
              <c:layout>
                <c:manualLayout>
                  <c:x val="0.0827150811511224"/>
                  <c:y val="-0.0008555279787268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381900960400807"/>
                  <c:y val="-0.2984031432868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半年以上</c:v>
                </c:pt>
                <c:pt idx="1">
                  <c:v>3-6个月</c:v>
                </c:pt>
                <c:pt idx="2">
                  <c:v>2-3个月</c:v>
                </c:pt>
                <c:pt idx="3">
                  <c:v>1-2个月</c:v>
                </c:pt>
                <c:pt idx="4">
                  <c:v>1个月以内</c:v>
                </c:pt>
              </c:strCache>
            </c:strRef>
          </c:cat>
          <c:val>
            <c:numRef>
              <c:f>Sheet1!$B$2:$B$6</c:f>
              <c:numCache>
                <c:formatCode>0.00%</c:formatCode>
                <c:ptCount val="5"/>
                <c:pt idx="0">
                  <c:v>0.0355</c:v>
                </c:pt>
                <c:pt idx="1">
                  <c:v>0.0397</c:v>
                </c:pt>
                <c:pt idx="2">
                  <c:v>0.0772</c:v>
                </c:pt>
                <c:pt idx="3">
                  <c:v>0.19</c:v>
                </c:pt>
                <c:pt idx="4">
                  <c:v>0.6576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毕业去向落实率</c:v>
                </c:pt>
                <c:pt idx="1">
                  <c:v>签订协议和劳动合同就业率</c:v>
                </c:pt>
                <c:pt idx="2">
                  <c:v>灵活就业率</c:v>
                </c:pt>
                <c:pt idx="3">
                  <c:v>创业率</c:v>
                </c:pt>
                <c:pt idx="4">
                  <c:v>升学率(含出国留学)</c:v>
                </c:pt>
                <c:pt idx="5">
                  <c:v>暂不就业率</c:v>
                </c:pt>
                <c:pt idx="6">
                  <c:v>待就业率</c:v>
                </c:pt>
                <c:pt idx="7">
                  <c:v>实际就业率</c:v>
                </c:pt>
              </c:strCache>
            </c:strRef>
          </c:cat>
          <c:val>
            <c:numRef>
              <c:f>Sheet1!$B$2:$B$9</c:f>
              <c:numCache>
                <c:formatCode>0.00%</c:formatCode>
                <c:ptCount val="8"/>
                <c:pt idx="0">
                  <c:v>1</c:v>
                </c:pt>
                <c:pt idx="1">
                  <c:v>0</c:v>
                </c:pt>
                <c:pt idx="2">
                  <c:v>0.5</c:v>
                </c:pt>
                <c:pt idx="3">
                  <c:v>0</c:v>
                </c:pt>
                <c:pt idx="4">
                  <c:v>0.5</c:v>
                </c:pt>
                <c:pt idx="5">
                  <c:v>0</c:v>
                </c:pt>
                <c:pt idx="6">
                  <c:v>0</c:v>
                </c:pt>
                <c:pt idx="7">
                  <c:v>0.5</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dLbl>
              <c:idx val="1"/>
              <c:layout>
                <c:manualLayout>
                  <c:x val="0.144571142879228"/>
                  <c:y val="0.087410926365795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56239833013289"/>
                  <c:y val="0.12850427500144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很不满意</c:v>
                </c:pt>
                <c:pt idx="1">
                  <c:v>不满意</c:v>
                </c:pt>
                <c:pt idx="2">
                  <c:v>非常满意</c:v>
                </c:pt>
                <c:pt idx="3">
                  <c:v>满意</c:v>
                </c:pt>
              </c:strCache>
            </c:strRef>
          </c:cat>
          <c:val>
            <c:numRef>
              <c:f>Sheet1!$B$2:$B$5</c:f>
              <c:numCache>
                <c:formatCode>0.00%</c:formatCode>
                <c:ptCount val="4"/>
                <c:pt idx="0">
                  <c:v>0.0125</c:v>
                </c:pt>
                <c:pt idx="1">
                  <c:v>0.071</c:v>
                </c:pt>
                <c:pt idx="2">
                  <c:v>0.3069</c:v>
                </c:pt>
                <c:pt idx="3">
                  <c:v>0.6096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工作环境较差</c:v>
                </c:pt>
                <c:pt idx="1">
                  <c:v>人际关系复杂难处理</c:v>
                </c:pt>
                <c:pt idx="2">
                  <c:v>不符合自身兴趣爱好</c:v>
                </c:pt>
                <c:pt idx="3">
                  <c:v>单位发展前景不好</c:v>
                </c:pt>
                <c:pt idx="4">
                  <c:v>个人发展空间小</c:v>
                </c:pt>
                <c:pt idx="5">
                  <c:v>与所学专业相关度不高</c:v>
                </c:pt>
                <c:pt idx="6">
                  <c:v>工作压力较大</c:v>
                </c:pt>
                <c:pt idx="7">
                  <c:v>收入低</c:v>
                </c:pt>
              </c:strCache>
            </c:strRef>
          </c:cat>
          <c:val>
            <c:numRef>
              <c:f>Sheet1!$B$2:$B$9</c:f>
              <c:numCache>
                <c:formatCode>0.00%</c:formatCode>
                <c:ptCount val="8"/>
                <c:pt idx="0">
                  <c:v>0.122</c:v>
                </c:pt>
                <c:pt idx="1">
                  <c:v>0.2195</c:v>
                </c:pt>
                <c:pt idx="2">
                  <c:v>0.2195</c:v>
                </c:pt>
                <c:pt idx="3">
                  <c:v>0.2195</c:v>
                </c:pt>
                <c:pt idx="4">
                  <c:v>0.2927</c:v>
                </c:pt>
                <c:pt idx="5">
                  <c:v>0.2927</c:v>
                </c:pt>
                <c:pt idx="6">
                  <c:v>0.3415</c:v>
                </c:pt>
                <c:pt idx="7">
                  <c:v>0.5122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财务管理</c:v>
                </c:pt>
                <c:pt idx="1">
                  <c:v>绩效监督</c:v>
                </c:pt>
                <c:pt idx="2">
                  <c:v>指导他人</c:v>
                </c:pt>
                <c:pt idx="3">
                  <c:v>人力资源管理</c:v>
                </c:pt>
                <c:pt idx="4">
                  <c:v>理解性阅读</c:v>
                </c:pt>
                <c:pt idx="5">
                  <c:v>理解他人</c:v>
                </c:pt>
                <c:pt idx="6">
                  <c:v>积极聆听说服他人疑难排解</c:v>
                </c:pt>
                <c:pt idx="7">
                  <c:v>服务他人</c:v>
                </c:pt>
                <c:pt idx="8">
                  <c:v>协调安排</c:v>
                </c:pt>
                <c:pt idx="9">
                  <c:v>判断和决策</c:v>
                </c:pt>
                <c:pt idx="10">
                  <c:v>谈判技能</c:v>
                </c:pt>
                <c:pt idx="11">
                  <c:v>时间管理</c:v>
                </c:pt>
                <c:pt idx="12">
                  <c:v>技术设计</c:v>
                </c:pt>
                <c:pt idx="13">
                  <c:v>学习方法</c:v>
                </c:pt>
                <c:pt idx="14">
                  <c:v>解决复杂的问题</c:v>
                </c:pt>
                <c:pt idx="15">
                  <c:v>逻辑思维</c:v>
                </c:pt>
                <c:pt idx="16">
                  <c:v>积极学习</c:v>
                </c:pt>
                <c:pt idx="17">
                  <c:v>有效的口头沟通</c:v>
                </c:pt>
              </c:strCache>
            </c:strRef>
          </c:cat>
          <c:val>
            <c:numRef>
              <c:f>Sheet1!$B$2:$B$19</c:f>
              <c:numCache>
                <c:formatCode>0.00%</c:formatCode>
                <c:ptCount val="18"/>
                <c:pt idx="0">
                  <c:v>0.0042</c:v>
                </c:pt>
                <c:pt idx="1">
                  <c:v>0.023</c:v>
                </c:pt>
                <c:pt idx="2">
                  <c:v>0.0271</c:v>
                </c:pt>
                <c:pt idx="3">
                  <c:v>0.0334</c:v>
                </c:pt>
                <c:pt idx="4">
                  <c:v>0.0334</c:v>
                </c:pt>
                <c:pt idx="5">
                  <c:v>0.0376</c:v>
                </c:pt>
                <c:pt idx="6">
                  <c:v>0.0418</c:v>
                </c:pt>
                <c:pt idx="7">
                  <c:v>0.0418</c:v>
                </c:pt>
                <c:pt idx="8">
                  <c:v>0.0438</c:v>
                </c:pt>
                <c:pt idx="9">
                  <c:v>0.0501</c:v>
                </c:pt>
                <c:pt idx="10">
                  <c:v>0.0605</c:v>
                </c:pt>
                <c:pt idx="11">
                  <c:v>0.0605</c:v>
                </c:pt>
                <c:pt idx="12">
                  <c:v>0.1148</c:v>
                </c:pt>
                <c:pt idx="13">
                  <c:v>0.1315</c:v>
                </c:pt>
                <c:pt idx="14">
                  <c:v>0.1795</c:v>
                </c:pt>
                <c:pt idx="15">
                  <c:v>0.4092</c:v>
                </c:pt>
                <c:pt idx="16">
                  <c:v>0.5324</c:v>
                </c:pt>
                <c:pt idx="17">
                  <c:v>0.6221</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周边同学都在考</c:v>
                </c:pt>
                <c:pt idx="1">
                  <c:v>家人的期望或要求</c:v>
                </c:pt>
                <c:pt idx="2">
                  <c:v>换一个专业学习</c:v>
                </c:pt>
                <c:pt idx="3">
                  <c:v>改变最后学历所在的学校</c:v>
                </c:pt>
                <c:pt idx="4">
                  <c:v>谋求更好的职业发展前景</c:v>
                </c:pt>
                <c:pt idx="5">
                  <c:v>对自己现有的学历层次不满足</c:v>
                </c:pt>
              </c:strCache>
            </c:strRef>
          </c:cat>
          <c:val>
            <c:numRef>
              <c:f>Sheet1!$B$2:$B$7</c:f>
              <c:numCache>
                <c:formatCode>0.00%</c:formatCode>
                <c:ptCount val="6"/>
                <c:pt idx="0">
                  <c:v>0.0101</c:v>
                </c:pt>
                <c:pt idx="1">
                  <c:v>0.0126</c:v>
                </c:pt>
                <c:pt idx="2">
                  <c:v>0.0277</c:v>
                </c:pt>
                <c:pt idx="3">
                  <c:v>0.0428</c:v>
                </c:pt>
                <c:pt idx="4">
                  <c:v>0.1335</c:v>
                </c:pt>
                <c:pt idx="5">
                  <c:v>0.7179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dLbl>
              <c:idx val="2"/>
              <c:layout>
                <c:manualLayout>
                  <c:x val="0.108696003495262"/>
                  <c:y val="-0.14985025926633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不相关</c:v>
                </c:pt>
                <c:pt idx="1">
                  <c:v>相关性不大</c:v>
                </c:pt>
                <c:pt idx="2">
                  <c:v>相关</c:v>
                </c:pt>
                <c:pt idx="3">
                  <c:v>一致</c:v>
                </c:pt>
              </c:strCache>
            </c:strRef>
          </c:cat>
          <c:val>
            <c:numRef>
              <c:f>Sheet1!$B$2:$B$5</c:f>
              <c:numCache>
                <c:formatCode>0.00%</c:formatCode>
                <c:ptCount val="4"/>
                <c:pt idx="0">
                  <c:v>0.0579</c:v>
                </c:pt>
                <c:pt idx="1">
                  <c:v>0.1234</c:v>
                </c:pt>
                <c:pt idx="2">
                  <c:v>0.3375</c:v>
                </c:pt>
                <c:pt idx="3">
                  <c:v>0.4811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学习难度低</c:v>
                </c:pt>
                <c:pt idx="1">
                  <c:v>是该校的特色（优势）学科</c:v>
                </c:pt>
                <c:pt idx="2">
                  <c:v>家人要求</c:v>
                </c:pt>
                <c:pt idx="3">
                  <c:v>原所学专业继续深造</c:v>
                </c:pt>
                <c:pt idx="4">
                  <c:v>志愿外被调剂</c:v>
                </c:pt>
                <c:pt idx="5">
                  <c:v>就业前景好</c:v>
                </c:pt>
                <c:pt idx="6">
                  <c:v>考取希望大</c:v>
                </c:pt>
                <c:pt idx="7">
                  <c:v>个人兴趣</c:v>
                </c:pt>
              </c:strCache>
            </c:strRef>
          </c:cat>
          <c:val>
            <c:numRef>
              <c:f>Sheet1!$B$2:$B$9</c:f>
              <c:numCache>
                <c:formatCode>0.00%</c:formatCode>
                <c:ptCount val="8"/>
                <c:pt idx="0">
                  <c:v>0.0435</c:v>
                </c:pt>
                <c:pt idx="1">
                  <c:v>0.0435</c:v>
                </c:pt>
                <c:pt idx="2">
                  <c:v>0.0435</c:v>
                </c:pt>
                <c:pt idx="3">
                  <c:v>0.087</c:v>
                </c:pt>
                <c:pt idx="4">
                  <c:v>0.087</c:v>
                </c:pt>
                <c:pt idx="5">
                  <c:v>0.1304</c:v>
                </c:pt>
                <c:pt idx="6">
                  <c:v>0.1739</c:v>
                </c:pt>
                <c:pt idx="7">
                  <c:v>0.3913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志愿外被调剂</c:v>
                </c:pt>
                <c:pt idx="1">
                  <c:v>学费低</c:v>
                </c:pt>
                <c:pt idx="2">
                  <c:v>老师或朋友推荐</c:v>
                </c:pt>
                <c:pt idx="3">
                  <c:v>社会声誉好</c:v>
                </c:pt>
                <c:pt idx="4">
                  <c:v>就业前景好</c:v>
                </c:pt>
                <c:pt idx="5">
                  <c:v>考取希望大</c:v>
                </c:pt>
                <c:pt idx="6">
                  <c:v>地理位置合适</c:v>
                </c:pt>
              </c:strCache>
            </c:strRef>
          </c:cat>
          <c:val>
            <c:numRef>
              <c:f>Sheet1!$B$2:$B$8</c:f>
              <c:numCache>
                <c:formatCode>0.00%</c:formatCode>
                <c:ptCount val="7"/>
                <c:pt idx="0">
                  <c:v>0.0932</c:v>
                </c:pt>
                <c:pt idx="1">
                  <c:v>0.0982</c:v>
                </c:pt>
                <c:pt idx="2">
                  <c:v>0.1965</c:v>
                </c:pt>
                <c:pt idx="3">
                  <c:v>0.2544</c:v>
                </c:pt>
                <c:pt idx="4">
                  <c:v>0.3426</c:v>
                </c:pt>
                <c:pt idx="5">
                  <c:v>0.3804</c:v>
                </c:pt>
                <c:pt idx="6">
                  <c:v>0.3829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暂时没有找到满意工作</c:v>
                </c:pt>
                <c:pt idx="1">
                  <c:v>喜欢自由的生活方式</c:v>
                </c:pt>
                <c:pt idx="2">
                  <c:v>所学专业适合自由职业</c:v>
                </c:pt>
              </c:strCache>
            </c:strRef>
          </c:cat>
          <c:val>
            <c:numRef>
              <c:f>Sheet1!$B$2:$B$4</c:f>
              <c:numCache>
                <c:formatCode>0.00%</c:formatCode>
                <c:ptCount val="3"/>
                <c:pt idx="0">
                  <c:v>0.43</c:v>
                </c:pt>
                <c:pt idx="1">
                  <c:v>0.44</c:v>
                </c:pt>
                <c:pt idx="2">
                  <c:v>0.49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12000-14999元</c:v>
                </c:pt>
                <c:pt idx="1">
                  <c:v>15000-19999元</c:v>
                </c:pt>
                <c:pt idx="2">
                  <c:v>20000元及以上</c:v>
                </c:pt>
                <c:pt idx="3">
                  <c:v>10000-11999元</c:v>
                </c:pt>
                <c:pt idx="4">
                  <c:v>8000-9999元</c:v>
                </c:pt>
                <c:pt idx="5">
                  <c:v>6000-7999元</c:v>
                </c:pt>
                <c:pt idx="6">
                  <c:v>2000元以下</c:v>
                </c:pt>
                <c:pt idx="7">
                  <c:v>4000-5999元</c:v>
                </c:pt>
                <c:pt idx="8">
                  <c:v>2000-3999元</c:v>
                </c:pt>
              </c:strCache>
            </c:strRef>
          </c:cat>
          <c:val>
            <c:numRef>
              <c:f>Sheet1!$B$2:$B$10</c:f>
              <c:numCache>
                <c:formatCode>0.00%</c:formatCode>
                <c:ptCount val="9"/>
                <c:pt idx="0">
                  <c:v>0</c:v>
                </c:pt>
                <c:pt idx="1">
                  <c:v>0</c:v>
                </c:pt>
                <c:pt idx="2">
                  <c:v>0.01</c:v>
                </c:pt>
                <c:pt idx="3">
                  <c:v>0.02</c:v>
                </c:pt>
                <c:pt idx="4">
                  <c:v>0.03</c:v>
                </c:pt>
                <c:pt idx="5">
                  <c:v>0.13</c:v>
                </c:pt>
                <c:pt idx="6">
                  <c:v>0.14</c:v>
                </c:pt>
                <c:pt idx="7">
                  <c:v>0.33</c:v>
                </c:pt>
                <c:pt idx="8">
                  <c:v>0.34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要考公务员或事业单位等</c:v>
                </c:pt>
                <c:pt idx="1">
                  <c:v>学习成绩不理想</c:v>
                </c:pt>
                <c:pt idx="2">
                  <c:v>毕业学校在业界的知名度低</c:v>
                </c:pt>
                <c:pt idx="3">
                  <c:v>能够获取的就业岗位信息太少</c:v>
                </c:pt>
                <c:pt idx="4">
                  <c:v>暂无就业需求</c:v>
                </c:pt>
                <c:pt idx="5">
                  <c:v>求职竞争激烈</c:v>
                </c:pt>
                <c:pt idx="6">
                  <c:v>就业意向不明确，求职迷茫</c:v>
                </c:pt>
                <c:pt idx="7">
                  <c:v>找工作的时间晚了</c:v>
                </c:pt>
                <c:pt idx="8">
                  <c:v>求职就业的相关技能比较弱</c:v>
                </c:pt>
                <c:pt idx="9">
                  <c:v>实习实践经验缺乏</c:v>
                </c:pt>
                <c:pt idx="10">
                  <c:v>找到的工作不满意</c:v>
                </c:pt>
                <c:pt idx="11">
                  <c:v>所学专业就业面窄</c:v>
                </c:pt>
                <c:pt idx="12">
                  <c:v>学历不够</c:v>
                </c:pt>
              </c:strCache>
            </c:strRef>
          </c:cat>
          <c:val>
            <c:numRef>
              <c:f>Sheet1!$B$2:$B$14</c:f>
              <c:numCache>
                <c:formatCode>General</c:formatCode>
                <c:ptCount val="13"/>
                <c:pt idx="0">
                  <c:v>0</c:v>
                </c:pt>
                <c:pt idx="1" c:formatCode="0.00%">
                  <c:v>0.0645</c:v>
                </c:pt>
                <c:pt idx="2" c:formatCode="0.00%">
                  <c:v>0.0903</c:v>
                </c:pt>
                <c:pt idx="3" c:formatCode="0.00%">
                  <c:v>0.1226</c:v>
                </c:pt>
                <c:pt idx="4" c:formatCode="0.00%">
                  <c:v>0.1355</c:v>
                </c:pt>
                <c:pt idx="5" c:formatCode="0.00%">
                  <c:v>0.1677</c:v>
                </c:pt>
                <c:pt idx="6" c:formatCode="0.00%">
                  <c:v>0.1742</c:v>
                </c:pt>
                <c:pt idx="7" c:formatCode="0.00%">
                  <c:v>0.1935</c:v>
                </c:pt>
                <c:pt idx="8" c:formatCode="0.00%">
                  <c:v>0.2065</c:v>
                </c:pt>
                <c:pt idx="9" c:formatCode="0.00%">
                  <c:v>0.2194</c:v>
                </c:pt>
                <c:pt idx="10" c:formatCode="0.00%">
                  <c:v>0.271</c:v>
                </c:pt>
                <c:pt idx="11" c:formatCode="0.00%">
                  <c:v>0.2968</c:v>
                </c:pt>
                <c:pt idx="12" c:formatCode="0.00%">
                  <c:v>0.3419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毕业去向落实率</c:v>
                </c:pt>
                <c:pt idx="1">
                  <c:v>签订协议和劳动合同就业率</c:v>
                </c:pt>
                <c:pt idx="2">
                  <c:v>灵活就业率</c:v>
                </c:pt>
                <c:pt idx="3">
                  <c:v>创业率</c:v>
                </c:pt>
                <c:pt idx="4">
                  <c:v>升学率(含出国留学)</c:v>
                </c:pt>
                <c:pt idx="5">
                  <c:v>暂不就业率</c:v>
                </c:pt>
                <c:pt idx="6">
                  <c:v>待就业率</c:v>
                </c:pt>
                <c:pt idx="7">
                  <c:v>实际就业率</c:v>
                </c:pt>
              </c:strCache>
            </c:strRef>
          </c:cat>
          <c:val>
            <c:numRef>
              <c:f>Sheet1!$B$2:$B$9</c:f>
              <c:numCache>
                <c:formatCode>0.00%</c:formatCode>
                <c:ptCount val="8"/>
                <c:pt idx="0">
                  <c:v>0.875</c:v>
                </c:pt>
                <c:pt idx="1">
                  <c:v>0.6667</c:v>
                </c:pt>
                <c:pt idx="2">
                  <c:v>0</c:v>
                </c:pt>
                <c:pt idx="3">
                  <c:v>0</c:v>
                </c:pt>
                <c:pt idx="4">
                  <c:v>0.2083</c:v>
                </c:pt>
                <c:pt idx="5">
                  <c:v>0</c:v>
                </c:pt>
                <c:pt idx="6">
                  <c:v>0.125</c:v>
                </c:pt>
                <c:pt idx="7">
                  <c:v>0.6667</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准备内地升学</c:v>
                </c:pt>
                <c:pt idx="1">
                  <c:v>准备留学</c:v>
                </c:pt>
                <c:pt idx="2">
                  <c:v>准备出国/出境工作</c:v>
                </c:pt>
                <c:pt idx="3">
                  <c:v>正在签约办理中</c:v>
                </c:pt>
                <c:pt idx="4">
                  <c:v>准备考公务员事业单位</c:v>
                </c:pt>
                <c:pt idx="5">
                  <c:v>准备应征入伍</c:v>
                </c:pt>
                <c:pt idx="6">
                  <c:v>准备创业</c:v>
                </c:pt>
                <c:pt idx="7">
                  <c:v>不想就业</c:v>
                </c:pt>
                <c:pt idx="8">
                  <c:v>其他</c:v>
                </c:pt>
              </c:strCache>
            </c:strRef>
          </c:cat>
          <c:val>
            <c:numRef>
              <c:f>Sheet1!$B$2:$B$10</c:f>
              <c:numCache>
                <c:formatCode>0.00%</c:formatCode>
                <c:ptCount val="9"/>
                <c:pt idx="0">
                  <c:v>0</c:v>
                </c:pt>
                <c:pt idx="1">
                  <c:v>0</c:v>
                </c:pt>
                <c:pt idx="2">
                  <c:v>0</c:v>
                </c:pt>
                <c:pt idx="3">
                  <c:v>0.0333</c:v>
                </c:pt>
                <c:pt idx="4">
                  <c:v>0.0333</c:v>
                </c:pt>
                <c:pt idx="5">
                  <c:v>0.0667</c:v>
                </c:pt>
                <c:pt idx="6">
                  <c:v>0.1</c:v>
                </c:pt>
                <c:pt idx="7">
                  <c:v>0.1333</c:v>
                </c:pt>
                <c:pt idx="8">
                  <c:v>0.6333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669213818290019"/>
                  <c:y val="0.071673391491368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①非常满意</c:v>
                </c:pt>
                <c:pt idx="2">
                  <c:v>②满意</c:v>
                </c:pt>
                <c:pt idx="3">
                  <c:v>④不满意</c:v>
                </c:pt>
                <c:pt idx="4">
                  <c:v>⑤非常不满意</c:v>
                </c:pt>
              </c:strCache>
            </c:strRef>
          </c:cat>
          <c:val>
            <c:numRef>
              <c:f>Sheet1!$B$2:$B$6</c:f>
              <c:numCache>
                <c:formatCode>0.00%</c:formatCode>
                <c:ptCount val="5"/>
                <c:pt idx="0">
                  <c:v>0.3783</c:v>
                </c:pt>
                <c:pt idx="1">
                  <c:v>0.2908</c:v>
                </c:pt>
                <c:pt idx="2">
                  <c:v>0.2655</c:v>
                </c:pt>
                <c:pt idx="3">
                  <c:v>0.0466</c:v>
                </c:pt>
                <c:pt idx="4">
                  <c:v>0.0188</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902131443009853"/>
                  <c:y val="0.082291800502685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0.3284</c:v>
                </c:pt>
                <c:pt idx="1">
                  <c:v>0.3276</c:v>
                </c:pt>
                <c:pt idx="2">
                  <c:v>0.3072</c:v>
                </c:pt>
                <c:pt idx="3">
                  <c:v>0.027</c:v>
                </c:pt>
                <c:pt idx="4">
                  <c:v>0.0098</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771015836357264"/>
                  <c:y val="0.062216008925005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0.3284</c:v>
                </c:pt>
                <c:pt idx="1">
                  <c:v>0.3194</c:v>
                </c:pt>
                <c:pt idx="2">
                  <c:v>0.3023</c:v>
                </c:pt>
                <c:pt idx="3">
                  <c:v>0.0343</c:v>
                </c:pt>
                <c:pt idx="4">
                  <c:v>0.0155</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910941206999881"/>
                  <c:y val="0.076705320278318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0.3431</c:v>
                </c:pt>
                <c:pt idx="1">
                  <c:v>0.3047</c:v>
                </c:pt>
                <c:pt idx="2">
                  <c:v>0.2933</c:v>
                </c:pt>
                <c:pt idx="3">
                  <c:v>0.0376</c:v>
                </c:pt>
                <c:pt idx="4">
                  <c:v>0.0212</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898078677474741"/>
                  <c:y val="0.07853307551816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①非常满意</c:v>
                </c:pt>
                <c:pt idx="2">
                  <c:v>②满意</c:v>
                </c:pt>
                <c:pt idx="3">
                  <c:v>④不满意</c:v>
                </c:pt>
                <c:pt idx="4">
                  <c:v>⑤非常不满意</c:v>
                </c:pt>
              </c:strCache>
            </c:strRef>
          </c:cat>
          <c:val>
            <c:numRef>
              <c:f>Sheet1!$B$2:$B$6</c:f>
              <c:numCache>
                <c:formatCode>0.00%</c:formatCode>
                <c:ptCount val="5"/>
                <c:pt idx="0">
                  <c:v>0.3415</c:v>
                </c:pt>
                <c:pt idx="1">
                  <c:v>0.2974</c:v>
                </c:pt>
                <c:pt idx="2">
                  <c:v>0.2802</c:v>
                </c:pt>
                <c:pt idx="3">
                  <c:v>0.0515</c:v>
                </c:pt>
                <c:pt idx="4">
                  <c:v>0.0294</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846404549519067"/>
                  <c:y val="0.07748405758013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0.3456</c:v>
                </c:pt>
                <c:pt idx="1">
                  <c:v>0.2998</c:v>
                </c:pt>
                <c:pt idx="2">
                  <c:v>0.2966</c:v>
                </c:pt>
                <c:pt idx="3">
                  <c:v>0.031</c:v>
                </c:pt>
                <c:pt idx="4">
                  <c:v>0.027</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865840526393608"/>
                  <c:y val="0.06326167338148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0.348</c:v>
                </c:pt>
                <c:pt idx="1">
                  <c:v>0.2974</c:v>
                </c:pt>
                <c:pt idx="2">
                  <c:v>0.2941</c:v>
                </c:pt>
                <c:pt idx="3">
                  <c:v>0.0359</c:v>
                </c:pt>
                <c:pt idx="4">
                  <c:v>0.0245</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939252195839615"/>
                  <c:y val="0.088401265985138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0.3325</c:v>
                </c:pt>
                <c:pt idx="1">
                  <c:v>0.3056</c:v>
                </c:pt>
                <c:pt idx="2">
                  <c:v>0.2974</c:v>
                </c:pt>
                <c:pt idx="3">
                  <c:v>0.0335</c:v>
                </c:pt>
                <c:pt idx="4">
                  <c:v>0.031</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813477849031625"/>
                  <c:y val="0.047417058051443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0.3211</c:v>
                </c:pt>
                <c:pt idx="1">
                  <c:v>0.3162</c:v>
                </c:pt>
                <c:pt idx="2">
                  <c:v>0.308</c:v>
                </c:pt>
                <c:pt idx="3">
                  <c:v>0.0286</c:v>
                </c:pt>
                <c:pt idx="4">
                  <c:v>0.0261</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毕业去向落实率</c:v>
                </c:pt>
                <c:pt idx="1">
                  <c:v>签订协议和劳动合同就业率</c:v>
                </c:pt>
                <c:pt idx="2">
                  <c:v>灵活就业率</c:v>
                </c:pt>
                <c:pt idx="3">
                  <c:v>创业率</c:v>
                </c:pt>
                <c:pt idx="4">
                  <c:v>升学率(含出国留学)</c:v>
                </c:pt>
                <c:pt idx="5">
                  <c:v>暂不就业率</c:v>
                </c:pt>
                <c:pt idx="6">
                  <c:v>待就业率</c:v>
                </c:pt>
                <c:pt idx="7">
                  <c:v>实际就业率</c:v>
                </c:pt>
              </c:strCache>
            </c:strRef>
          </c:cat>
          <c:val>
            <c:numRef>
              <c:f>Sheet1!$B$2:$B$9</c:f>
              <c:numCache>
                <c:formatCode>0.00%</c:formatCode>
                <c:ptCount val="8"/>
                <c:pt idx="0">
                  <c:v>0.9639</c:v>
                </c:pt>
                <c:pt idx="1">
                  <c:v>0.6627</c:v>
                </c:pt>
                <c:pt idx="2">
                  <c:v>0</c:v>
                </c:pt>
                <c:pt idx="3">
                  <c:v>0</c:v>
                </c:pt>
                <c:pt idx="4">
                  <c:v>0.3012</c:v>
                </c:pt>
                <c:pt idx="5">
                  <c:v>0.012</c:v>
                </c:pt>
                <c:pt idx="6">
                  <c:v>0.0241</c:v>
                </c:pt>
                <c:pt idx="7">
                  <c:v>0.6506</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73205927158697"/>
                  <c:y val="0.04688930740996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0.348</c:v>
                </c:pt>
                <c:pt idx="1">
                  <c:v>0.3064</c:v>
                </c:pt>
                <c:pt idx="2">
                  <c:v>0.299</c:v>
                </c:pt>
                <c:pt idx="3">
                  <c:v>0.0294</c:v>
                </c:pt>
                <c:pt idx="4">
                  <c:v>0.0172</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765635928882945"/>
                  <c:y val="0.050510998827856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0.3317</c:v>
                </c:pt>
                <c:pt idx="1">
                  <c:v>0.317</c:v>
                </c:pt>
                <c:pt idx="2">
                  <c:v>0.3039</c:v>
                </c:pt>
                <c:pt idx="3">
                  <c:v>0.0261</c:v>
                </c:pt>
                <c:pt idx="4">
                  <c:v>0.0212</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0510580885373404"/>
                  <c:y val="0.039452242602522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①非常满意</c:v>
                </c:pt>
                <c:pt idx="1">
                  <c:v>②满意</c:v>
                </c:pt>
                <c:pt idx="2">
                  <c:v>③中等</c:v>
                </c:pt>
                <c:pt idx="3">
                  <c:v>④不满意</c:v>
                </c:pt>
                <c:pt idx="4">
                  <c:v>⑤非常不满意</c:v>
                </c:pt>
              </c:strCache>
            </c:strRef>
          </c:cat>
          <c:val>
            <c:numRef>
              <c:f>Sheet1!$B$2:$B$6</c:f>
              <c:numCache>
                <c:formatCode>0.00%</c:formatCode>
                <c:ptCount val="5"/>
                <c:pt idx="0">
                  <c:v>0.3423</c:v>
                </c:pt>
                <c:pt idx="1">
                  <c:v>0.3423</c:v>
                </c:pt>
                <c:pt idx="2">
                  <c:v>0.2802</c:v>
                </c:pt>
                <c:pt idx="3">
                  <c:v>0.0188</c:v>
                </c:pt>
                <c:pt idx="4">
                  <c:v>0.0163</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206703910614"/>
          <c:y val="0.0811376723084976"/>
          <c:w val="0.628538175046555"/>
          <c:h val="0.763810853254231"/>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学生上门求职</c:v>
                </c:pt>
                <c:pt idx="2">
                  <c:v>各地区、行业举办的就业市场</c:v>
                </c:pt>
                <c:pt idx="3">
                  <c:v>学校推荐</c:v>
                </c:pt>
                <c:pt idx="4">
                  <c:v>网络进行招聘活动</c:v>
                </c:pt>
                <c:pt idx="5">
                  <c:v>通过学校发布招聘信息</c:v>
                </c:pt>
                <c:pt idx="6">
                  <c:v>参加高校组织的就业市场</c:v>
                </c:pt>
                <c:pt idx="7">
                  <c:v>校园专场</c:v>
                </c:pt>
              </c:strCache>
            </c:strRef>
          </c:cat>
          <c:val>
            <c:numRef>
              <c:f>Sheet1!$B$2:$B$9</c:f>
              <c:numCache>
                <c:formatCode>0.00%</c:formatCode>
                <c:ptCount val="8"/>
                <c:pt idx="0">
                  <c:v>0.0156</c:v>
                </c:pt>
                <c:pt idx="1">
                  <c:v>0.1094</c:v>
                </c:pt>
                <c:pt idx="2">
                  <c:v>0.1823</c:v>
                </c:pt>
                <c:pt idx="3">
                  <c:v>0.3542</c:v>
                </c:pt>
                <c:pt idx="4">
                  <c:v>0.5469</c:v>
                </c:pt>
                <c:pt idx="5">
                  <c:v>0.5833</c:v>
                </c:pt>
                <c:pt idx="6">
                  <c:v>0.6146</c:v>
                </c:pt>
                <c:pt idx="7">
                  <c:v>0.7865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6224394785847"/>
          <c:y val="0.0744618964514252"/>
          <c:w val="0.56219739292365"/>
          <c:h val="0.716230366492147"/>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偶尔参加学校招聘会</c:v>
                </c:pt>
                <c:pt idx="1">
                  <c:v>第一次来</c:v>
                </c:pt>
                <c:pt idx="2">
                  <c:v>根据有针对性的招聘需求才来</c:v>
                </c:pt>
                <c:pt idx="3">
                  <c:v>几乎每年都来</c:v>
                </c:pt>
              </c:strCache>
            </c:strRef>
          </c:cat>
          <c:val>
            <c:numRef>
              <c:f>Sheet1!$B$2:$B$5</c:f>
              <c:numCache>
                <c:formatCode>0.00%</c:formatCode>
                <c:ptCount val="4"/>
                <c:pt idx="0">
                  <c:v>0.1198</c:v>
                </c:pt>
                <c:pt idx="1">
                  <c:v>0.2083</c:v>
                </c:pt>
                <c:pt idx="2">
                  <c:v>0.2396</c:v>
                </c:pt>
                <c:pt idx="3">
                  <c:v>0.4323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0202550637659"/>
          <c:w val="0.679166666666667"/>
          <c:h val="0.7257814453613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2000～3000</c:v>
                </c:pt>
                <c:pt idx="1">
                  <c:v>3000～4000</c:v>
                </c:pt>
                <c:pt idx="2">
                  <c:v>4000～6000</c:v>
                </c:pt>
                <c:pt idx="3">
                  <c:v>8000以上</c:v>
                </c:pt>
                <c:pt idx="4">
                  <c:v>6000～8000</c:v>
                </c:pt>
              </c:strCache>
            </c:strRef>
          </c:cat>
          <c:val>
            <c:numRef>
              <c:f>Sheet1!$B$2:$B$6</c:f>
              <c:numCache>
                <c:formatCode>0.00%</c:formatCode>
                <c:ptCount val="5"/>
                <c:pt idx="0">
                  <c:v>0.0156</c:v>
                </c:pt>
                <c:pt idx="1">
                  <c:v>0.1458</c:v>
                </c:pt>
                <c:pt idx="2">
                  <c:v>0.5938</c:v>
                </c:pt>
                <c:pt idx="3">
                  <c:v>0.7917</c:v>
                </c:pt>
                <c:pt idx="4">
                  <c:v>0.8542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941816204459"/>
          <c:w val="0.679166666666667"/>
          <c:h val="0.728221859706362"/>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较低</c:v>
                </c:pt>
                <c:pt idx="1">
                  <c:v>一般</c:v>
                </c:pt>
                <c:pt idx="2">
                  <c:v>高档</c:v>
                </c:pt>
                <c:pt idx="3">
                  <c:v>中等</c:v>
                </c:pt>
                <c:pt idx="4">
                  <c:v>中等偏上</c:v>
                </c:pt>
              </c:strCache>
            </c:strRef>
          </c:cat>
          <c:val>
            <c:numRef>
              <c:f>Sheet1!$B$2:$B$6</c:f>
              <c:numCache>
                <c:formatCode>0.00%</c:formatCode>
                <c:ptCount val="5"/>
                <c:pt idx="0">
                  <c:v>0</c:v>
                </c:pt>
                <c:pt idx="1">
                  <c:v>0.0052</c:v>
                </c:pt>
                <c:pt idx="2">
                  <c:v>0.1094</c:v>
                </c:pt>
                <c:pt idx="3">
                  <c:v>0.151</c:v>
                </c:pt>
                <c:pt idx="4">
                  <c:v>0.7344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832446808511"/>
          <c:w val="0.679166666666667"/>
          <c:h val="0.8247007978723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减少大约10%</c:v>
                </c:pt>
                <c:pt idx="1">
                  <c:v>减少大约20%</c:v>
                </c:pt>
                <c:pt idx="2">
                  <c:v>减少大约30%</c:v>
                </c:pt>
                <c:pt idx="3">
                  <c:v>其他</c:v>
                </c:pt>
                <c:pt idx="4">
                  <c:v>增长大约30%</c:v>
                </c:pt>
                <c:pt idx="5">
                  <c:v>增长大约20%</c:v>
                </c:pt>
                <c:pt idx="6">
                  <c:v>基本持平</c:v>
                </c:pt>
                <c:pt idx="7">
                  <c:v>增长大约10%</c:v>
                </c:pt>
              </c:strCache>
            </c:strRef>
          </c:cat>
          <c:val>
            <c:numRef>
              <c:f>Sheet1!$B$2:$B$9</c:f>
              <c:numCache>
                <c:formatCode>0.00%</c:formatCode>
                <c:ptCount val="8"/>
                <c:pt idx="0">
                  <c:v>0</c:v>
                </c:pt>
                <c:pt idx="1">
                  <c:v>0</c:v>
                </c:pt>
                <c:pt idx="2">
                  <c:v>0</c:v>
                </c:pt>
                <c:pt idx="3">
                  <c:v>0.0156</c:v>
                </c:pt>
                <c:pt idx="4">
                  <c:v>0.0938</c:v>
                </c:pt>
                <c:pt idx="5">
                  <c:v>0.2292</c:v>
                </c:pt>
                <c:pt idx="6">
                  <c:v>0.2708</c:v>
                </c:pt>
                <c:pt idx="7">
                  <c:v>0.3906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698324022346"/>
          <c:y val="0.0718954248366013"/>
          <c:w val="0.741084729981378"/>
          <c:h val="0.711645870469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不注重</c:v>
                </c:pt>
                <c:pt idx="1">
                  <c:v>一般</c:v>
                </c:pt>
                <c:pt idx="2">
                  <c:v>很注重</c:v>
                </c:pt>
                <c:pt idx="3">
                  <c:v>比较注重</c:v>
                </c:pt>
              </c:strCache>
            </c:strRef>
          </c:cat>
          <c:val>
            <c:numRef>
              <c:f>Sheet1!$B$2:$B$5</c:f>
              <c:numCache>
                <c:formatCode>0.00%</c:formatCode>
                <c:ptCount val="4"/>
                <c:pt idx="0">
                  <c:v>0.0365</c:v>
                </c:pt>
                <c:pt idx="1">
                  <c:v>0.0833</c:v>
                </c:pt>
                <c:pt idx="2">
                  <c:v>0.2656</c:v>
                </c:pt>
                <c:pt idx="3">
                  <c:v>0.6146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751396648045"/>
          <c:y val="0.0718214170171466"/>
          <c:w val="0.5125"/>
          <c:h val="0.714784859268845"/>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其他</c:v>
                </c:pt>
                <c:pt idx="1">
                  <c:v>科研能力</c:v>
                </c:pt>
                <c:pt idx="2">
                  <c:v>组织管理、人际交往能力</c:v>
                </c:pt>
                <c:pt idx="3">
                  <c:v>独立工作、分析解决问题的能力</c:v>
                </c:pt>
              </c:strCache>
            </c:strRef>
          </c:cat>
          <c:val>
            <c:numRef>
              <c:f>Sheet1!$B$2:$B$5</c:f>
              <c:numCache>
                <c:formatCode>0.00%</c:formatCode>
                <c:ptCount val="4"/>
                <c:pt idx="0">
                  <c:v>0.0052</c:v>
                </c:pt>
                <c:pt idx="1">
                  <c:v>0.0625</c:v>
                </c:pt>
                <c:pt idx="2">
                  <c:v>0.1406</c:v>
                </c:pt>
                <c:pt idx="3">
                  <c:v>0.7917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毕业去向落实率</c:v>
                </c:pt>
                <c:pt idx="1">
                  <c:v>签订协议和劳动合同就业率</c:v>
                </c:pt>
                <c:pt idx="2">
                  <c:v>灵活就业率</c:v>
                </c:pt>
                <c:pt idx="3">
                  <c:v>创业率</c:v>
                </c:pt>
                <c:pt idx="4">
                  <c:v>升学率(含出国留学)</c:v>
                </c:pt>
                <c:pt idx="5">
                  <c:v>暂不就业率</c:v>
                </c:pt>
                <c:pt idx="6">
                  <c:v>待就业率</c:v>
                </c:pt>
                <c:pt idx="7">
                  <c:v>实际就业率</c:v>
                </c:pt>
              </c:strCache>
            </c:strRef>
          </c:cat>
          <c:val>
            <c:numRef>
              <c:f>Sheet1!$B$2:$B$9</c:f>
              <c:numCache>
                <c:formatCode>0.00%</c:formatCode>
                <c:ptCount val="8"/>
                <c:pt idx="0">
                  <c:v>0.9164</c:v>
                </c:pt>
                <c:pt idx="1">
                  <c:v>0.6186</c:v>
                </c:pt>
                <c:pt idx="2">
                  <c:v>0.0256</c:v>
                </c:pt>
                <c:pt idx="3">
                  <c:v>0.0047</c:v>
                </c:pt>
                <c:pt idx="4">
                  <c:v>0.2675</c:v>
                </c:pt>
                <c:pt idx="5">
                  <c:v>0.0121</c:v>
                </c:pt>
                <c:pt idx="6">
                  <c:v>0.0714</c:v>
                </c:pt>
                <c:pt idx="7">
                  <c:v>0.6253</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825569358178054"/>
          <c:w val="0.679166666666667"/>
          <c:h val="0.73146997929606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英语成绩、计算机成绩</c:v>
                </c:pt>
                <c:pt idx="1">
                  <c:v>基础课成绩</c:v>
                </c:pt>
                <c:pt idx="2">
                  <c:v>不做要求，其他</c:v>
                </c:pt>
                <c:pt idx="3">
                  <c:v>实践、实习成绩</c:v>
                </c:pt>
                <c:pt idx="4">
                  <c:v>专业课成绩</c:v>
                </c:pt>
              </c:strCache>
            </c:strRef>
          </c:cat>
          <c:val>
            <c:numRef>
              <c:f>Sheet1!$B$2:$B$6</c:f>
              <c:numCache>
                <c:formatCode>0.00%</c:formatCode>
                <c:ptCount val="5"/>
                <c:pt idx="0">
                  <c:v>0.0313</c:v>
                </c:pt>
                <c:pt idx="1">
                  <c:v>0.0677</c:v>
                </c:pt>
                <c:pt idx="2">
                  <c:v>0.0833</c:v>
                </c:pt>
                <c:pt idx="3">
                  <c:v>0.2448</c:v>
                </c:pt>
                <c:pt idx="4">
                  <c:v>0.5729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9860335195531"/>
          <c:y val="0.0811483814266881"/>
          <c:w val="0.516340782122905"/>
          <c:h val="0.785030027830672"/>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其他</c:v>
                </c:pt>
                <c:pt idx="1">
                  <c:v>计算机技能</c:v>
                </c:pt>
                <c:pt idx="2">
                  <c:v>外语水平</c:v>
                </c:pt>
                <c:pt idx="3">
                  <c:v>学生干部经历</c:v>
                </c:pt>
                <c:pt idx="4">
                  <c:v>思想政治素质</c:v>
                </c:pt>
                <c:pt idx="5">
                  <c:v>心理素质</c:v>
                </c:pt>
                <c:pt idx="6">
                  <c:v>学习成绩</c:v>
                </c:pt>
                <c:pt idx="7">
                  <c:v>敬业精神</c:v>
                </c:pt>
                <c:pt idx="8">
                  <c:v>社会实践经历或工作经验</c:v>
                </c:pt>
                <c:pt idx="9">
                  <c:v>毕业生综合素质（协作精神、人际沟通能力、创新能力、解决问题的能力等）</c:v>
                </c:pt>
              </c:strCache>
            </c:strRef>
          </c:cat>
          <c:val>
            <c:numRef>
              <c:f>Sheet1!$B$2:$B$11</c:f>
              <c:numCache>
                <c:formatCode>0.00%</c:formatCode>
                <c:ptCount val="10"/>
                <c:pt idx="0">
                  <c:v>0.0104</c:v>
                </c:pt>
                <c:pt idx="1">
                  <c:v>0.0625</c:v>
                </c:pt>
                <c:pt idx="2">
                  <c:v>0.0885</c:v>
                </c:pt>
                <c:pt idx="3">
                  <c:v>0.1146</c:v>
                </c:pt>
                <c:pt idx="4">
                  <c:v>0.2656</c:v>
                </c:pt>
                <c:pt idx="5">
                  <c:v>0.3125</c:v>
                </c:pt>
                <c:pt idx="6">
                  <c:v>0.3854</c:v>
                </c:pt>
                <c:pt idx="7">
                  <c:v>0.3854</c:v>
                </c:pt>
                <c:pt idx="8">
                  <c:v>0.4635</c:v>
                </c:pt>
                <c:pt idx="9">
                  <c:v>0.8125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002793296089"/>
          <c:y val="0.0801429300663604"/>
          <c:w val="0.642504655493482"/>
          <c:h val="0.81819806023481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其他</c:v>
                </c:pt>
                <c:pt idx="1">
                  <c:v>文字表达能力</c:v>
                </c:pt>
                <c:pt idx="2">
                  <c:v>仪表</c:v>
                </c:pt>
                <c:pt idx="3">
                  <c:v>创新能力</c:v>
                </c:pt>
                <c:pt idx="4">
                  <c:v>举止</c:v>
                </c:pt>
                <c:pt idx="5">
                  <c:v>心理素质</c:v>
                </c:pt>
                <c:pt idx="6">
                  <c:v>应变能力</c:v>
                </c:pt>
                <c:pt idx="7">
                  <c:v>语言表达能力</c:v>
                </c:pt>
                <c:pt idx="8">
                  <c:v>解决实际问题的能力</c:v>
                </c:pt>
                <c:pt idx="9">
                  <c:v>专业素养</c:v>
                </c:pt>
                <c:pt idx="10">
                  <c:v>协作精神、人际沟通能力</c:v>
                </c:pt>
              </c:strCache>
            </c:strRef>
          </c:cat>
          <c:val>
            <c:numRef>
              <c:f>Sheet1!$B$2:$B$12</c:f>
              <c:numCache>
                <c:formatCode>0.00%</c:formatCode>
                <c:ptCount val="11"/>
                <c:pt idx="0">
                  <c:v>0.0208</c:v>
                </c:pt>
                <c:pt idx="1">
                  <c:v>0.0573</c:v>
                </c:pt>
                <c:pt idx="2">
                  <c:v>0.1094</c:v>
                </c:pt>
                <c:pt idx="3">
                  <c:v>0.1146</c:v>
                </c:pt>
                <c:pt idx="4">
                  <c:v>0.1458</c:v>
                </c:pt>
                <c:pt idx="5">
                  <c:v>0.1563</c:v>
                </c:pt>
                <c:pt idx="6">
                  <c:v>0.3594</c:v>
                </c:pt>
                <c:pt idx="7">
                  <c:v>0.5052</c:v>
                </c:pt>
                <c:pt idx="8">
                  <c:v>0.5052</c:v>
                </c:pt>
                <c:pt idx="9">
                  <c:v>0.6094</c:v>
                </c:pt>
                <c:pt idx="10">
                  <c:v>0.6458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779801853627357"/>
          <c:w val="0.679166666666667"/>
          <c:h val="0.770661553211889"/>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较差</c:v>
                </c:pt>
                <c:pt idx="1">
                  <c:v>一般</c:v>
                </c:pt>
                <c:pt idx="2">
                  <c:v>很好</c:v>
                </c:pt>
                <c:pt idx="3">
                  <c:v>较好</c:v>
                </c:pt>
              </c:strCache>
            </c:strRef>
          </c:cat>
          <c:val>
            <c:numRef>
              <c:f>Sheet1!$B$2:$B$5</c:f>
              <c:numCache>
                <c:formatCode>0.00%</c:formatCode>
                <c:ptCount val="4"/>
                <c:pt idx="0">
                  <c:v>0</c:v>
                </c:pt>
                <c:pt idx="1">
                  <c:v>0.0208</c:v>
                </c:pt>
                <c:pt idx="2">
                  <c:v>0.3073</c:v>
                </c:pt>
                <c:pt idx="3">
                  <c:v>0.6719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120060790274"/>
          <c:w val="0.679166666666667"/>
          <c:h val="0.83504939209726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人文素养</c:v>
                </c:pt>
                <c:pt idx="1">
                  <c:v>外语能力</c:v>
                </c:pt>
                <c:pt idx="2">
                  <c:v>其他</c:v>
                </c:pt>
                <c:pt idx="3">
                  <c:v>发展潜力</c:v>
                </c:pt>
                <c:pt idx="4">
                  <c:v>心理素质</c:v>
                </c:pt>
                <c:pt idx="5">
                  <c:v>组织协调</c:v>
                </c:pt>
                <c:pt idx="6">
                  <c:v>人际交往</c:v>
                </c:pt>
                <c:pt idx="7">
                  <c:v>敬业精神</c:v>
                </c:pt>
                <c:pt idx="8">
                  <c:v>团队合作</c:v>
                </c:pt>
                <c:pt idx="9">
                  <c:v>独立工作能力</c:v>
                </c:pt>
                <c:pt idx="10">
                  <c:v>研究能力</c:v>
                </c:pt>
                <c:pt idx="11">
                  <c:v>解决问题能力</c:v>
                </c:pt>
                <c:pt idx="12">
                  <c:v>知识结构</c:v>
                </c:pt>
                <c:pt idx="13">
                  <c:v>实际操作</c:v>
                </c:pt>
                <c:pt idx="14">
                  <c:v>创新能力</c:v>
                </c:pt>
              </c:strCache>
            </c:strRef>
          </c:cat>
          <c:val>
            <c:numRef>
              <c:f>Sheet1!$B$2:$B$16</c:f>
              <c:numCache>
                <c:formatCode>0.00%</c:formatCode>
                <c:ptCount val="15"/>
                <c:pt idx="0">
                  <c:v>0.1146</c:v>
                </c:pt>
                <c:pt idx="1">
                  <c:v>0.224</c:v>
                </c:pt>
                <c:pt idx="2">
                  <c:v>0.2292</c:v>
                </c:pt>
                <c:pt idx="3">
                  <c:v>0.2708</c:v>
                </c:pt>
                <c:pt idx="4">
                  <c:v>0.2917</c:v>
                </c:pt>
                <c:pt idx="5">
                  <c:v>0.3229</c:v>
                </c:pt>
                <c:pt idx="6">
                  <c:v>0.3594</c:v>
                </c:pt>
                <c:pt idx="7">
                  <c:v>0.3646</c:v>
                </c:pt>
                <c:pt idx="8">
                  <c:v>0.3698</c:v>
                </c:pt>
                <c:pt idx="9">
                  <c:v>0.375</c:v>
                </c:pt>
                <c:pt idx="10">
                  <c:v>0.3854</c:v>
                </c:pt>
                <c:pt idx="11">
                  <c:v>0.4427</c:v>
                </c:pt>
                <c:pt idx="12">
                  <c:v>0.4792</c:v>
                </c:pt>
                <c:pt idx="13">
                  <c:v>0.4844</c:v>
                </c:pt>
                <c:pt idx="14">
                  <c:v>0.5208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699035812672176"/>
          <c:w val="0.679166666666667"/>
          <c:h val="0.70571625344352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较差</c:v>
                </c:pt>
                <c:pt idx="1">
                  <c:v>一般</c:v>
                </c:pt>
                <c:pt idx="2">
                  <c:v>很好</c:v>
                </c:pt>
                <c:pt idx="3">
                  <c:v>较好</c:v>
                </c:pt>
              </c:strCache>
            </c:strRef>
          </c:cat>
          <c:val>
            <c:numRef>
              <c:f>Sheet1!$B$2:$B$5</c:f>
              <c:numCache>
                <c:formatCode>0.00%</c:formatCode>
                <c:ptCount val="4"/>
                <c:pt idx="0">
                  <c:v>0</c:v>
                </c:pt>
                <c:pt idx="1">
                  <c:v>0.0313</c:v>
                </c:pt>
                <c:pt idx="2">
                  <c:v>0.4271</c:v>
                </c:pt>
                <c:pt idx="3">
                  <c:v>0.5417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同行推荐</c:v>
                </c:pt>
                <c:pt idx="1">
                  <c:v>其它</c:v>
                </c:pt>
                <c:pt idx="2">
                  <c:v>多年的合作关系</c:v>
                </c:pt>
                <c:pt idx="3">
                  <c:v>学校声誉好</c:v>
                </c:pt>
                <c:pt idx="4">
                  <c:v>工作踏实，忠诚度高</c:v>
                </c:pt>
                <c:pt idx="5">
                  <c:v>专业基础知识扎实</c:v>
                </c:pt>
                <c:pt idx="6">
                  <c:v>综合素质较高</c:v>
                </c:pt>
              </c:strCache>
            </c:strRef>
          </c:cat>
          <c:val>
            <c:numRef>
              <c:f>Sheet1!$B$2:$B$8</c:f>
              <c:numCache>
                <c:formatCode>0.00%</c:formatCode>
                <c:ptCount val="7"/>
                <c:pt idx="0">
                  <c:v>0.0052</c:v>
                </c:pt>
                <c:pt idx="1">
                  <c:v>0.0208</c:v>
                </c:pt>
                <c:pt idx="2">
                  <c:v>0.0365</c:v>
                </c:pt>
                <c:pt idx="3">
                  <c:v>0.0885</c:v>
                </c:pt>
                <c:pt idx="4">
                  <c:v>0.2083</c:v>
                </c:pt>
                <c:pt idx="5">
                  <c:v>0.276</c:v>
                </c:pt>
                <c:pt idx="6">
                  <c:v>0.3646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3776287717159"/>
          <c:w val="0.679166666666667"/>
          <c:h val="0.75751295336787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较欠缺</c:v>
                </c:pt>
                <c:pt idx="1">
                  <c:v>欠缺</c:v>
                </c:pt>
                <c:pt idx="2">
                  <c:v>一般</c:v>
                </c:pt>
                <c:pt idx="3">
                  <c:v>非常充足</c:v>
                </c:pt>
                <c:pt idx="4">
                  <c:v>比较充足</c:v>
                </c:pt>
              </c:strCache>
            </c:strRef>
          </c:cat>
          <c:val>
            <c:numRef>
              <c:f>Sheet1!$B$2:$B$6</c:f>
              <c:numCache>
                <c:formatCode>0.00%</c:formatCode>
                <c:ptCount val="5"/>
                <c:pt idx="0">
                  <c:v>0</c:v>
                </c:pt>
                <c:pt idx="1">
                  <c:v>0</c:v>
                </c:pt>
                <c:pt idx="2">
                  <c:v>0.0677</c:v>
                </c:pt>
                <c:pt idx="3">
                  <c:v>0.2083</c:v>
                </c:pt>
                <c:pt idx="4">
                  <c:v>0.724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826593601739471"/>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很慢</c:v>
                </c:pt>
                <c:pt idx="1">
                  <c:v>较慢</c:v>
                </c:pt>
                <c:pt idx="2">
                  <c:v>一般</c:v>
                </c:pt>
                <c:pt idx="3">
                  <c:v>很快</c:v>
                </c:pt>
                <c:pt idx="4">
                  <c:v>较快</c:v>
                </c:pt>
              </c:strCache>
            </c:strRef>
          </c:cat>
          <c:val>
            <c:numRef>
              <c:f>Sheet1!$B$2:$B$6</c:f>
              <c:numCache>
                <c:formatCode>0.00%</c:formatCode>
                <c:ptCount val="5"/>
                <c:pt idx="0">
                  <c:v>0</c:v>
                </c:pt>
                <c:pt idx="1">
                  <c:v>0.0052</c:v>
                </c:pt>
                <c:pt idx="2">
                  <c:v>0.0885</c:v>
                </c:pt>
                <c:pt idx="3">
                  <c:v>0.2135</c:v>
                </c:pt>
                <c:pt idx="4">
                  <c:v>0.6927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不太适应</c:v>
                </c:pt>
                <c:pt idx="1">
                  <c:v>一般</c:v>
                </c:pt>
                <c:pt idx="2">
                  <c:v>很适应</c:v>
                </c:pt>
                <c:pt idx="3">
                  <c:v>较适应</c:v>
                </c:pt>
              </c:strCache>
            </c:strRef>
          </c:cat>
          <c:val>
            <c:numRef>
              <c:f>Sheet1!$B$2:$B$5</c:f>
              <c:numCache>
                <c:formatCode>0.00%</c:formatCode>
                <c:ptCount val="4"/>
                <c:pt idx="0">
                  <c:v>0</c:v>
                </c:pt>
                <c:pt idx="1">
                  <c:v>0.0729</c:v>
                </c:pt>
                <c:pt idx="2">
                  <c:v>0.25</c:v>
                </c:pt>
                <c:pt idx="3">
                  <c:v>0.6771</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aust</Company>
  <Pages>83</Pages>
  <Words>20665</Words>
  <Characters>25471</Characters>
  <Lines>197</Lines>
  <Paragraphs>55</Paragraphs>
  <TotalTime>7</TotalTime>
  <ScaleCrop>false</ScaleCrop>
  <LinksUpToDate>false</LinksUpToDate>
  <CharactersWithSpaces>28378</CharactersWithSpaces>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2018-01-05T08:01:00Z</dcterms:created>
  <dc:creator>Administrator</dc:creator>
  <cp:lastModifiedBy>大树先生</cp:lastModifiedBy>
  <cp:lastPrinted>2022-10-27T14:31:00Z</cp:lastPrinted>
  <dcterms:modified xsi:type="dcterms:W3CDTF">2023-12-26T07:43:13Z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5CC0A9D24D4842BEA1A5B87A688E76FC</vt:lpwstr>
  </property>
</Properties>
</file>