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83.xml" ContentType="application/vnd.ms-office.chartcolorstyle+xml"/>
  <Override PartName="/word/charts/colors84.xml" ContentType="application/vnd.ms-office.chartcolorstyle+xml"/>
  <Override PartName="/word/charts/colors85.xml" ContentType="application/vnd.ms-office.chartcolorstyle+xml"/>
  <Override PartName="/word/charts/colors86.xml" ContentType="application/vnd.ms-office.chartcolorstyle+xml"/>
  <Override PartName="/word/charts/colors87.xml" ContentType="application/vnd.ms-office.chartcolorstyle+xml"/>
  <Override PartName="/word/charts/colors88.xml" ContentType="application/vnd.ms-office.chartcolorstyle+xml"/>
  <Override PartName="/word/charts/colors89.xml" ContentType="application/vnd.ms-office.chartcolorstyle+xml"/>
  <Override PartName="/word/charts/colors9.xml" ContentType="application/vnd.ms-office.chartcolorstyle+xml"/>
  <Override PartName="/word/charts/colors90.xml" ContentType="application/vnd.ms-office.chartcolorstyle+xml"/>
  <Override PartName="/word/charts/colors91.xml" ContentType="application/vnd.ms-office.chartcolorstyle+xml"/>
  <Override PartName="/word/charts/colors92.xml" ContentType="application/vnd.ms-office.chartcolorstyle+xml"/>
  <Override PartName="/word/charts/colors93.xml" ContentType="application/vnd.ms-office.chartcolorstyle+xml"/>
  <Override PartName="/word/charts/colors94.xml" ContentType="application/vnd.ms-office.chartcolorstyle+xml"/>
  <Override PartName="/word/charts/colors95.xml" ContentType="application/vnd.ms-office.chartcolorstyle+xml"/>
  <Override PartName="/word/charts/colors96.xml" ContentType="application/vnd.ms-office.chartcolorstyle+xml"/>
  <Override PartName="/word/charts/colors97.xml" ContentType="application/vnd.ms-office.chartcolorstyle+xml"/>
  <Override PartName="/word/charts/colors98.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83.xml" ContentType="application/vnd.ms-office.chartstyle+xml"/>
  <Override PartName="/word/charts/style84.xml" ContentType="application/vnd.ms-office.chartstyle+xml"/>
  <Override PartName="/word/charts/style85.xml" ContentType="application/vnd.ms-office.chartstyle+xml"/>
  <Override PartName="/word/charts/style86.xml" ContentType="application/vnd.ms-office.chartstyle+xml"/>
  <Override PartName="/word/charts/style87.xml" ContentType="application/vnd.ms-office.chartstyle+xml"/>
  <Override PartName="/word/charts/style88.xml" ContentType="application/vnd.ms-office.chartstyle+xml"/>
  <Override PartName="/word/charts/style89.xml" ContentType="application/vnd.ms-office.chartstyle+xml"/>
  <Override PartName="/word/charts/style9.xml" ContentType="application/vnd.ms-office.chartstyle+xml"/>
  <Override PartName="/word/charts/style90.xml" ContentType="application/vnd.ms-office.chartstyle+xml"/>
  <Override PartName="/word/charts/style91.xml" ContentType="application/vnd.ms-office.chartstyle+xml"/>
  <Override PartName="/word/charts/style92.xml" ContentType="application/vnd.ms-office.chartstyle+xml"/>
  <Override PartName="/word/charts/style93.xml" ContentType="application/vnd.ms-office.chartstyle+xml"/>
  <Override PartName="/word/charts/style94.xml" ContentType="application/vnd.ms-office.chartstyle+xml"/>
  <Override PartName="/word/charts/style95.xml" ContentType="application/vnd.ms-office.chartstyle+xml"/>
  <Override PartName="/word/charts/style96.xml" ContentType="application/vnd.ms-office.chartstyle+xml"/>
  <Override PartName="/word/charts/style97.xml" ContentType="application/vnd.ms-office.chartstyle+xml"/>
  <Override PartName="/word/charts/style9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00.xml" ContentType="application/vnd.openxmlformats-officedocument.themeOverride+xml"/>
  <Override PartName="/word/theme/themeOverride10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63.xml" ContentType="application/vnd.openxmlformats-officedocument.themeOverride+xml"/>
  <Override PartName="/word/theme/themeOverride64.xml" ContentType="application/vnd.openxmlformats-officedocument.themeOverride+xml"/>
  <Override PartName="/word/theme/themeOverride65.xml" ContentType="application/vnd.openxmlformats-officedocument.themeOverride+xml"/>
  <Override PartName="/word/theme/themeOverride66.xml" ContentType="application/vnd.openxmlformats-officedocument.themeOverride+xml"/>
  <Override PartName="/word/theme/themeOverride67.xml" ContentType="application/vnd.openxmlformats-officedocument.themeOverride+xml"/>
  <Override PartName="/word/theme/themeOverride68.xml" ContentType="application/vnd.openxmlformats-officedocument.themeOverride+xml"/>
  <Override PartName="/word/theme/themeOverride69.xml" ContentType="application/vnd.openxmlformats-officedocument.themeOverride+xml"/>
  <Override PartName="/word/theme/themeOverride7.xml" ContentType="application/vnd.openxmlformats-officedocument.themeOverride+xml"/>
  <Override PartName="/word/theme/themeOverride70.xml" ContentType="application/vnd.openxmlformats-officedocument.themeOverride+xml"/>
  <Override PartName="/word/theme/themeOverride71.xml" ContentType="application/vnd.openxmlformats-officedocument.themeOverride+xml"/>
  <Override PartName="/word/theme/themeOverride72.xml" ContentType="application/vnd.openxmlformats-officedocument.themeOverride+xml"/>
  <Override PartName="/word/theme/themeOverride73.xml" ContentType="application/vnd.openxmlformats-officedocument.themeOverride+xml"/>
  <Override PartName="/word/theme/themeOverride74.xml" ContentType="application/vnd.openxmlformats-officedocument.themeOverride+xml"/>
  <Override PartName="/word/theme/themeOverride75.xml" ContentType="application/vnd.openxmlformats-officedocument.themeOverride+xml"/>
  <Override PartName="/word/theme/themeOverride76.xml" ContentType="application/vnd.openxmlformats-officedocument.themeOverride+xml"/>
  <Override PartName="/word/theme/themeOverride77.xml" ContentType="application/vnd.openxmlformats-officedocument.themeOverride+xml"/>
  <Override PartName="/word/theme/themeOverride78.xml" ContentType="application/vnd.openxmlformats-officedocument.themeOverride+xml"/>
  <Override PartName="/word/theme/themeOverride79.xml" ContentType="application/vnd.openxmlformats-officedocument.themeOverride+xml"/>
  <Override PartName="/word/theme/themeOverride8.xml" ContentType="application/vnd.openxmlformats-officedocument.themeOverride+xml"/>
  <Override PartName="/word/theme/themeOverride80.xml" ContentType="application/vnd.openxmlformats-officedocument.themeOverride+xml"/>
  <Override PartName="/word/theme/themeOverride81.xml" ContentType="application/vnd.openxmlformats-officedocument.themeOverride+xml"/>
  <Override PartName="/word/theme/themeOverride82.xml" ContentType="application/vnd.openxmlformats-officedocument.themeOverride+xml"/>
  <Override PartName="/word/theme/themeOverride83.xml" ContentType="application/vnd.openxmlformats-officedocument.themeOverride+xml"/>
  <Override PartName="/word/theme/themeOverride84.xml" ContentType="application/vnd.openxmlformats-officedocument.themeOverride+xml"/>
  <Override PartName="/word/theme/themeOverride85.xml" ContentType="application/vnd.openxmlformats-officedocument.themeOverride+xml"/>
  <Override PartName="/word/theme/themeOverride86.xml" ContentType="application/vnd.openxmlformats-officedocument.themeOverride+xml"/>
  <Override PartName="/word/theme/themeOverride87.xml" ContentType="application/vnd.openxmlformats-officedocument.themeOverride+xml"/>
  <Override PartName="/word/theme/themeOverride88.xml" ContentType="application/vnd.openxmlformats-officedocument.themeOverride+xml"/>
  <Override PartName="/word/theme/themeOverride89.xml" ContentType="application/vnd.openxmlformats-officedocument.themeOverride+xml"/>
  <Override PartName="/word/theme/themeOverride9.xml" ContentType="application/vnd.openxmlformats-officedocument.themeOverride+xml"/>
  <Override PartName="/word/theme/themeOverride90.xml" ContentType="application/vnd.openxmlformats-officedocument.themeOverride+xml"/>
  <Override PartName="/word/theme/themeOverride91.xml" ContentType="application/vnd.openxmlformats-officedocument.themeOverride+xml"/>
  <Override PartName="/word/theme/themeOverride92.xml" ContentType="application/vnd.openxmlformats-officedocument.themeOverride+xml"/>
  <Override PartName="/word/theme/themeOverride93.xml" ContentType="application/vnd.openxmlformats-officedocument.themeOverride+xml"/>
  <Override PartName="/word/theme/themeOverride94.xml" ContentType="application/vnd.openxmlformats-officedocument.themeOverride+xml"/>
  <Override PartName="/word/theme/themeOverride95.xml" ContentType="application/vnd.openxmlformats-officedocument.themeOverride+xml"/>
  <Override PartName="/word/theme/themeOverride96.xml" ContentType="application/vnd.openxmlformats-officedocument.themeOverride+xml"/>
  <Override PartName="/word/theme/themeOverride97.xml" ContentType="application/vnd.openxmlformats-officedocument.themeOverride+xml"/>
  <Override PartName="/word/theme/themeOverride98.xml" ContentType="application/vnd.openxmlformats-officedocument.themeOverride+xml"/>
  <Override PartName="/word/theme/themeOverride9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2"/>
          <w:lang w:val="en-US" w:eastAsia="zh-CN" w:bidi="ar-SA"/>
        </w:rPr>
        <w:id w:val="147463308"/>
        <w15:color w:val="DBDBDB"/>
        <w:docPartObj>
          <w:docPartGallery w:val="Table of Contents"/>
          <w:docPartUnique/>
        </w:docPartObj>
      </w:sdtPr>
      <w:sdtEndPr>
        <w:rPr>
          <w:rFonts w:ascii="宋体" w:hAnsi="宋体" w:eastAsia="宋体" w:cs="Times New Roman"/>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0" w:name="_Toc22408"/>
          <w:r>
            <w:rPr>
              <w:rFonts w:ascii="宋体" w:hAnsi="宋体" w:eastAsia="宋体"/>
              <w:sz w:val="21"/>
            </w:rPr>
            <w:t>目录</w:t>
          </w:r>
        </w:p>
        <w:p>
          <w:pPr>
            <w:pStyle w:val="12"/>
            <w:tabs>
              <w:tab w:val="right" w:leader="dot" w:pos="8600"/>
            </w:tabs>
          </w:pPr>
          <w:r>
            <w:fldChar w:fldCharType="begin"/>
          </w:r>
          <w:r>
            <w:instrText xml:space="preserve">TOC \o "1-2" \h \u </w:instrText>
          </w:r>
          <w:r>
            <w:fldChar w:fldCharType="separate"/>
          </w:r>
          <w:r>
            <w:fldChar w:fldCharType="begin"/>
          </w:r>
          <w:r>
            <w:instrText xml:space="preserve"> HYPERLINK \l _Toc20763 </w:instrText>
          </w:r>
          <w:r>
            <w:fldChar w:fldCharType="separate"/>
          </w:r>
          <w:r>
            <w:rPr>
              <w:rFonts w:hint="eastAsia" w:ascii="黑体" w:hAnsi="黑体" w:eastAsia="黑体" w:cs="黑体"/>
              <w:bCs w:val="0"/>
              <w:szCs w:val="44"/>
            </w:rPr>
            <w:t>引  言</w:t>
          </w:r>
          <w:r>
            <w:tab/>
          </w:r>
          <w:r>
            <w:fldChar w:fldCharType="begin"/>
          </w:r>
          <w:r>
            <w:instrText xml:space="preserve"> PAGEREF _Toc20763 \h </w:instrText>
          </w:r>
          <w:r>
            <w:fldChar w:fldCharType="separate"/>
          </w:r>
          <w:r>
            <w:t>2</w:t>
          </w:r>
          <w:r>
            <w:fldChar w:fldCharType="end"/>
          </w:r>
          <w:r>
            <w:fldChar w:fldCharType="end"/>
          </w:r>
        </w:p>
        <w:p>
          <w:pPr>
            <w:pStyle w:val="12"/>
            <w:tabs>
              <w:tab w:val="right" w:leader="dot" w:pos="8600"/>
            </w:tabs>
          </w:pPr>
          <w:r>
            <w:fldChar w:fldCharType="begin"/>
          </w:r>
          <w:r>
            <w:instrText xml:space="preserve"> HYPERLINK \l _Toc8660 </w:instrText>
          </w:r>
          <w:r>
            <w:fldChar w:fldCharType="separate"/>
          </w:r>
          <w:r>
            <w:rPr>
              <w:rFonts w:hint="eastAsia" w:ascii="黑体" w:hAnsi="黑体" w:eastAsia="黑体" w:cs="黑体"/>
              <w:bCs w:val="0"/>
              <w:szCs w:val="44"/>
              <w:lang w:val="en-US" w:eastAsia="zh-CN"/>
            </w:rPr>
            <w:t>报告说明</w:t>
          </w:r>
          <w:r>
            <w:tab/>
          </w:r>
          <w:r>
            <w:fldChar w:fldCharType="begin"/>
          </w:r>
          <w:r>
            <w:instrText xml:space="preserve"> PAGEREF _Toc8660 \h </w:instrText>
          </w:r>
          <w:r>
            <w:fldChar w:fldCharType="separate"/>
          </w:r>
          <w:r>
            <w:t>4</w:t>
          </w:r>
          <w:r>
            <w:fldChar w:fldCharType="end"/>
          </w:r>
          <w:r>
            <w:fldChar w:fldCharType="end"/>
          </w:r>
        </w:p>
        <w:p>
          <w:pPr>
            <w:pStyle w:val="12"/>
            <w:tabs>
              <w:tab w:val="right" w:leader="dot" w:pos="8600"/>
            </w:tabs>
          </w:pPr>
          <w:r>
            <w:fldChar w:fldCharType="begin"/>
          </w:r>
          <w:r>
            <w:instrText xml:space="preserve"> HYPERLINK \l _Toc25231 </w:instrText>
          </w:r>
          <w:r>
            <w:fldChar w:fldCharType="separate"/>
          </w:r>
          <w:r>
            <w:rPr>
              <w:rFonts w:hint="eastAsia"/>
            </w:rPr>
            <w:t xml:space="preserve">第一部分 </w:t>
          </w:r>
          <w:r>
            <w:rPr>
              <w:rFonts w:hint="eastAsia"/>
              <w:lang w:eastAsia="zh-CN"/>
            </w:rPr>
            <w:t>毕业生</w:t>
          </w:r>
          <w:r>
            <w:rPr>
              <w:rFonts w:hint="eastAsia"/>
            </w:rPr>
            <w:t>基本情况</w:t>
          </w:r>
          <w:r>
            <w:tab/>
          </w:r>
          <w:r>
            <w:fldChar w:fldCharType="begin"/>
          </w:r>
          <w:r>
            <w:instrText xml:space="preserve"> PAGEREF _Toc25231 \h </w:instrText>
          </w:r>
          <w:r>
            <w:fldChar w:fldCharType="separate"/>
          </w:r>
          <w:r>
            <w:t>5</w:t>
          </w:r>
          <w:r>
            <w:fldChar w:fldCharType="end"/>
          </w:r>
          <w:r>
            <w:fldChar w:fldCharType="end"/>
          </w:r>
        </w:p>
        <w:p>
          <w:pPr>
            <w:pStyle w:val="14"/>
            <w:tabs>
              <w:tab w:val="right" w:leader="dot" w:pos="8600"/>
            </w:tabs>
          </w:pPr>
          <w:r>
            <w:fldChar w:fldCharType="begin"/>
          </w:r>
          <w:r>
            <w:instrText xml:space="preserve"> HYPERLINK \l _Toc4120 </w:instrText>
          </w:r>
          <w:r>
            <w:fldChar w:fldCharType="separate"/>
          </w:r>
          <w:r>
            <w:rPr>
              <w:rFonts w:hint="eastAsia"/>
              <w:szCs w:val="28"/>
            </w:rPr>
            <w:t xml:space="preserve">一、 </w:t>
          </w:r>
          <w:r>
            <w:rPr>
              <w:rFonts w:hint="eastAsia"/>
            </w:rPr>
            <w:t>毕业生总体情况</w:t>
          </w:r>
          <w:r>
            <w:tab/>
          </w:r>
          <w:r>
            <w:fldChar w:fldCharType="begin"/>
          </w:r>
          <w:r>
            <w:instrText xml:space="preserve"> PAGEREF _Toc4120 \h </w:instrText>
          </w:r>
          <w:r>
            <w:fldChar w:fldCharType="separate"/>
          </w:r>
          <w:r>
            <w:t>5</w:t>
          </w:r>
          <w:r>
            <w:fldChar w:fldCharType="end"/>
          </w:r>
          <w:r>
            <w:fldChar w:fldCharType="end"/>
          </w:r>
        </w:p>
        <w:p>
          <w:pPr>
            <w:pStyle w:val="14"/>
            <w:tabs>
              <w:tab w:val="right" w:leader="dot" w:pos="8600"/>
            </w:tabs>
          </w:pPr>
          <w:r>
            <w:fldChar w:fldCharType="begin"/>
          </w:r>
          <w:r>
            <w:instrText xml:space="preserve"> HYPERLINK \l _Toc24319 </w:instrText>
          </w:r>
          <w:r>
            <w:fldChar w:fldCharType="separate"/>
          </w:r>
          <w:r>
            <w:rPr>
              <w:rFonts w:hint="eastAsia"/>
              <w:szCs w:val="28"/>
            </w:rPr>
            <w:t xml:space="preserve">二、 </w:t>
          </w:r>
          <w:r>
            <w:rPr>
              <w:rFonts w:hint="eastAsia"/>
            </w:rPr>
            <w:t>毕业生生源情况</w:t>
          </w:r>
          <w:r>
            <w:tab/>
          </w:r>
          <w:r>
            <w:fldChar w:fldCharType="begin"/>
          </w:r>
          <w:r>
            <w:instrText xml:space="preserve"> PAGEREF _Toc24319 \h </w:instrText>
          </w:r>
          <w:r>
            <w:fldChar w:fldCharType="separate"/>
          </w:r>
          <w:r>
            <w:t>8</w:t>
          </w:r>
          <w:r>
            <w:fldChar w:fldCharType="end"/>
          </w:r>
          <w:r>
            <w:fldChar w:fldCharType="end"/>
          </w:r>
        </w:p>
        <w:p>
          <w:pPr>
            <w:pStyle w:val="12"/>
            <w:tabs>
              <w:tab w:val="right" w:leader="dot" w:pos="8600"/>
            </w:tabs>
          </w:pPr>
          <w:r>
            <w:fldChar w:fldCharType="begin"/>
          </w:r>
          <w:r>
            <w:instrText xml:space="preserve"> HYPERLINK \l _Toc14260 </w:instrText>
          </w:r>
          <w:r>
            <w:fldChar w:fldCharType="separate"/>
          </w:r>
          <w:r>
            <w:rPr>
              <w:rFonts w:hint="eastAsia"/>
            </w:rPr>
            <w:t>第二部分 毕业生</w:t>
          </w:r>
          <w:r>
            <w:rPr>
              <w:rFonts w:hint="eastAsia"/>
              <w:lang w:val="en-US" w:eastAsia="zh-CN"/>
            </w:rPr>
            <w:t>去向落实</w:t>
          </w:r>
          <w:r>
            <w:rPr>
              <w:rFonts w:hint="eastAsia"/>
            </w:rPr>
            <w:t>情况</w:t>
          </w:r>
          <w:r>
            <w:tab/>
          </w:r>
          <w:r>
            <w:fldChar w:fldCharType="begin"/>
          </w:r>
          <w:r>
            <w:instrText xml:space="preserve"> PAGEREF _Toc14260 \h </w:instrText>
          </w:r>
          <w:r>
            <w:fldChar w:fldCharType="separate"/>
          </w:r>
          <w:r>
            <w:t>9</w:t>
          </w:r>
          <w:r>
            <w:fldChar w:fldCharType="end"/>
          </w:r>
          <w:r>
            <w:fldChar w:fldCharType="end"/>
          </w:r>
        </w:p>
        <w:p>
          <w:pPr>
            <w:pStyle w:val="14"/>
            <w:tabs>
              <w:tab w:val="right" w:leader="dot" w:pos="8600"/>
            </w:tabs>
          </w:pPr>
          <w:r>
            <w:fldChar w:fldCharType="begin"/>
          </w:r>
          <w:r>
            <w:instrText xml:space="preserve"> HYPERLINK \l _Toc14729 </w:instrText>
          </w:r>
          <w:r>
            <w:fldChar w:fldCharType="separate"/>
          </w:r>
          <w:r>
            <w:rPr>
              <w:rFonts w:hint="eastAsia" w:ascii="宋体" w:hAnsi="宋体" w:cs="宋体"/>
              <w:bCs/>
              <w:szCs w:val="28"/>
            </w:rPr>
            <w:t>一、 毕业生</w:t>
          </w:r>
          <w:r>
            <w:rPr>
              <w:rFonts w:hint="eastAsia" w:ascii="宋体" w:hAnsi="宋体" w:cs="宋体"/>
              <w:bCs/>
              <w:szCs w:val="28"/>
              <w:lang w:val="en-US" w:eastAsia="zh-CN"/>
            </w:rPr>
            <w:t>初次</w:t>
          </w:r>
          <w:r>
            <w:rPr>
              <w:rFonts w:hint="eastAsia" w:ascii="宋体" w:hAnsi="宋体" w:cs="宋体"/>
              <w:bCs/>
              <w:szCs w:val="28"/>
              <w:lang w:eastAsia="zh-CN"/>
            </w:rPr>
            <w:t>毕业去向落实率</w:t>
          </w:r>
          <w:r>
            <w:tab/>
          </w:r>
          <w:r>
            <w:fldChar w:fldCharType="begin"/>
          </w:r>
          <w:r>
            <w:instrText xml:space="preserve"> PAGEREF _Toc14729 \h </w:instrText>
          </w:r>
          <w:r>
            <w:fldChar w:fldCharType="separate"/>
          </w:r>
          <w:r>
            <w:t>9</w:t>
          </w:r>
          <w:r>
            <w:fldChar w:fldCharType="end"/>
          </w:r>
          <w:r>
            <w:fldChar w:fldCharType="end"/>
          </w:r>
        </w:p>
        <w:p>
          <w:pPr>
            <w:pStyle w:val="14"/>
            <w:tabs>
              <w:tab w:val="right" w:leader="dot" w:pos="8600"/>
            </w:tabs>
          </w:pPr>
          <w:r>
            <w:fldChar w:fldCharType="begin"/>
          </w:r>
          <w:r>
            <w:instrText xml:space="preserve"> HYPERLINK \l _Toc15260 </w:instrText>
          </w:r>
          <w:r>
            <w:fldChar w:fldCharType="separate"/>
          </w:r>
          <w:r>
            <w:rPr>
              <w:rFonts w:hint="eastAsia" w:ascii="宋体" w:hAnsi="宋体" w:cs="宋体"/>
              <w:bCs/>
              <w:szCs w:val="28"/>
            </w:rPr>
            <w:t xml:space="preserve">二、 </w:t>
          </w:r>
          <w:r>
            <w:rPr>
              <w:rFonts w:hint="eastAsia" w:ascii="宋体" w:hAnsi="宋体" w:cs="宋体"/>
              <w:bCs/>
              <w:szCs w:val="28"/>
              <w:lang w:val="en-US" w:eastAsia="zh-CN"/>
            </w:rPr>
            <w:t>初次就业七率统计</w:t>
          </w:r>
          <w:r>
            <w:tab/>
          </w:r>
          <w:r>
            <w:fldChar w:fldCharType="begin"/>
          </w:r>
          <w:r>
            <w:instrText xml:space="preserve"> PAGEREF _Toc15260 \h </w:instrText>
          </w:r>
          <w:r>
            <w:fldChar w:fldCharType="separate"/>
          </w:r>
          <w:r>
            <w:t>10</w:t>
          </w:r>
          <w:r>
            <w:fldChar w:fldCharType="end"/>
          </w:r>
          <w:r>
            <w:fldChar w:fldCharType="end"/>
          </w:r>
        </w:p>
        <w:p>
          <w:pPr>
            <w:pStyle w:val="14"/>
            <w:tabs>
              <w:tab w:val="right" w:leader="dot" w:pos="8600"/>
            </w:tabs>
          </w:pPr>
          <w:r>
            <w:fldChar w:fldCharType="begin"/>
          </w:r>
          <w:r>
            <w:instrText xml:space="preserve"> HYPERLINK \l _Toc23641 </w:instrText>
          </w:r>
          <w:r>
            <w:fldChar w:fldCharType="separate"/>
          </w:r>
          <w:r>
            <w:rPr>
              <w:rFonts w:hint="default"/>
              <w:szCs w:val="28"/>
              <w:lang w:val="en-US" w:eastAsia="zh-CN"/>
            </w:rPr>
            <w:t xml:space="preserve">三、 </w:t>
          </w:r>
          <w:r>
            <w:rPr>
              <w:rFonts w:hint="eastAsia"/>
              <w:lang w:val="en-US" w:eastAsia="zh-CN"/>
            </w:rPr>
            <w:t>全校毕业生去向落实情况统计</w:t>
          </w:r>
          <w:r>
            <w:tab/>
          </w:r>
          <w:r>
            <w:fldChar w:fldCharType="begin"/>
          </w:r>
          <w:r>
            <w:instrText xml:space="preserve"> PAGEREF _Toc23641 \h </w:instrText>
          </w:r>
          <w:r>
            <w:fldChar w:fldCharType="separate"/>
          </w:r>
          <w:r>
            <w:t>12</w:t>
          </w:r>
          <w:r>
            <w:fldChar w:fldCharType="end"/>
          </w:r>
          <w:r>
            <w:fldChar w:fldCharType="end"/>
          </w:r>
        </w:p>
        <w:p>
          <w:pPr>
            <w:pStyle w:val="14"/>
            <w:tabs>
              <w:tab w:val="right" w:leader="dot" w:pos="8600"/>
            </w:tabs>
          </w:pPr>
          <w:r>
            <w:fldChar w:fldCharType="begin"/>
          </w:r>
          <w:r>
            <w:instrText xml:space="preserve"> HYPERLINK \l _Toc3125 </w:instrText>
          </w:r>
          <w:r>
            <w:fldChar w:fldCharType="separate"/>
          </w:r>
          <w:r>
            <w:rPr>
              <w:rFonts w:hint="eastAsia" w:ascii="宋体" w:hAnsi="宋体" w:cs="宋体"/>
              <w:bCs/>
              <w:szCs w:val="28"/>
              <w:lang w:val="en-US" w:eastAsia="zh-CN"/>
            </w:rPr>
            <w:t>四、 毕业</w:t>
          </w:r>
          <w:r>
            <w:rPr>
              <w:rFonts w:hint="eastAsia"/>
              <w:lang w:val="en-US" w:eastAsia="zh-CN"/>
            </w:rPr>
            <w:t>去向落实情况专项统计</w:t>
          </w:r>
          <w:r>
            <w:tab/>
          </w:r>
          <w:r>
            <w:fldChar w:fldCharType="begin"/>
          </w:r>
          <w:r>
            <w:instrText xml:space="preserve"> PAGEREF _Toc3125 \h </w:instrText>
          </w:r>
          <w:r>
            <w:fldChar w:fldCharType="separate"/>
          </w:r>
          <w:r>
            <w:t>15</w:t>
          </w:r>
          <w:r>
            <w:fldChar w:fldCharType="end"/>
          </w:r>
          <w:r>
            <w:fldChar w:fldCharType="end"/>
          </w:r>
        </w:p>
        <w:p>
          <w:pPr>
            <w:pStyle w:val="14"/>
            <w:tabs>
              <w:tab w:val="right" w:leader="dot" w:pos="8600"/>
            </w:tabs>
          </w:pPr>
          <w:r>
            <w:fldChar w:fldCharType="begin"/>
          </w:r>
          <w:r>
            <w:instrText xml:space="preserve"> HYPERLINK \l _Toc29085 </w:instrText>
          </w:r>
          <w:r>
            <w:fldChar w:fldCharType="separate"/>
          </w:r>
          <w:r>
            <w:rPr>
              <w:rFonts w:hint="eastAsia" w:ascii="宋体" w:hAnsi="宋体" w:cs="宋体"/>
              <w:bCs/>
              <w:szCs w:val="28"/>
              <w:lang w:val="en-US" w:eastAsia="zh-CN"/>
            </w:rPr>
            <w:t>五、 特殊群体</w:t>
          </w:r>
          <w:r>
            <w:rPr>
              <w:rFonts w:hint="eastAsia"/>
              <w:lang w:val="en-US" w:eastAsia="zh-CN"/>
            </w:rPr>
            <w:t>去向落实情况专项统计</w:t>
          </w:r>
          <w:r>
            <w:tab/>
          </w:r>
          <w:r>
            <w:fldChar w:fldCharType="begin"/>
          </w:r>
          <w:r>
            <w:instrText xml:space="preserve"> PAGEREF _Toc29085 \h </w:instrText>
          </w:r>
          <w:r>
            <w:fldChar w:fldCharType="separate"/>
          </w:r>
          <w:r>
            <w:t>18</w:t>
          </w:r>
          <w:r>
            <w:fldChar w:fldCharType="end"/>
          </w:r>
          <w:r>
            <w:fldChar w:fldCharType="end"/>
          </w:r>
        </w:p>
        <w:p>
          <w:pPr>
            <w:pStyle w:val="12"/>
            <w:tabs>
              <w:tab w:val="right" w:leader="dot" w:pos="8600"/>
            </w:tabs>
          </w:pPr>
          <w:r>
            <w:fldChar w:fldCharType="begin"/>
          </w:r>
          <w:r>
            <w:instrText xml:space="preserve"> HYPERLINK \l _Toc8412 </w:instrText>
          </w:r>
          <w:r>
            <w:fldChar w:fldCharType="separate"/>
          </w:r>
          <w:r>
            <w:rPr>
              <w:rFonts w:hint="eastAsia"/>
              <w:lang w:val="en-US" w:eastAsia="zh-CN"/>
            </w:rPr>
            <w:t>第三部分 毕业生去向落实情况</w:t>
          </w:r>
          <w:r>
            <w:rPr>
              <w:rFonts w:hint="eastAsia"/>
            </w:rPr>
            <w:t>分析</w:t>
          </w:r>
          <w:r>
            <w:tab/>
          </w:r>
          <w:r>
            <w:fldChar w:fldCharType="begin"/>
          </w:r>
          <w:r>
            <w:instrText xml:space="preserve"> PAGEREF _Toc8412 \h </w:instrText>
          </w:r>
          <w:r>
            <w:fldChar w:fldCharType="separate"/>
          </w:r>
          <w:r>
            <w:t>19</w:t>
          </w:r>
          <w:r>
            <w:fldChar w:fldCharType="end"/>
          </w:r>
          <w:r>
            <w:fldChar w:fldCharType="end"/>
          </w:r>
        </w:p>
        <w:p>
          <w:pPr>
            <w:pStyle w:val="14"/>
            <w:tabs>
              <w:tab w:val="right" w:leader="dot" w:pos="8600"/>
            </w:tabs>
          </w:pPr>
          <w:r>
            <w:fldChar w:fldCharType="begin"/>
          </w:r>
          <w:r>
            <w:instrText xml:space="preserve"> HYPERLINK \l _Toc31075 </w:instrText>
          </w:r>
          <w:r>
            <w:fldChar w:fldCharType="separate"/>
          </w:r>
          <w:r>
            <w:rPr>
              <w:rFonts w:hint="eastAsia" w:ascii="宋体" w:hAnsi="宋体" w:cs="宋体"/>
              <w:bCs/>
              <w:szCs w:val="28"/>
              <w:lang w:val="en-US" w:eastAsia="zh-CN"/>
            </w:rPr>
            <w:t>一、 毕业去向分布</w:t>
          </w:r>
          <w:r>
            <w:tab/>
          </w:r>
          <w:r>
            <w:fldChar w:fldCharType="begin"/>
          </w:r>
          <w:r>
            <w:instrText xml:space="preserve"> PAGEREF _Toc31075 \h </w:instrText>
          </w:r>
          <w:r>
            <w:fldChar w:fldCharType="separate"/>
          </w:r>
          <w:r>
            <w:t>19</w:t>
          </w:r>
          <w:r>
            <w:fldChar w:fldCharType="end"/>
          </w:r>
          <w:r>
            <w:fldChar w:fldCharType="end"/>
          </w:r>
        </w:p>
        <w:p>
          <w:pPr>
            <w:pStyle w:val="14"/>
            <w:tabs>
              <w:tab w:val="right" w:leader="dot" w:pos="8600"/>
            </w:tabs>
          </w:pPr>
          <w:r>
            <w:fldChar w:fldCharType="begin"/>
          </w:r>
          <w:r>
            <w:instrText xml:space="preserve"> HYPERLINK \l _Toc28403 </w:instrText>
          </w:r>
          <w:r>
            <w:fldChar w:fldCharType="separate"/>
          </w:r>
          <w:r>
            <w:rPr>
              <w:rFonts w:hint="eastAsia" w:ascii="宋体" w:hAnsi="宋体" w:cs="宋体"/>
              <w:bCs/>
              <w:szCs w:val="28"/>
              <w:lang w:val="en-US" w:eastAsia="zh-CN"/>
            </w:rPr>
            <w:t>二、 单位行业分布</w:t>
          </w:r>
          <w:r>
            <w:tab/>
          </w:r>
          <w:r>
            <w:fldChar w:fldCharType="begin"/>
          </w:r>
          <w:r>
            <w:instrText xml:space="preserve"> PAGEREF _Toc28403 \h </w:instrText>
          </w:r>
          <w:r>
            <w:fldChar w:fldCharType="separate"/>
          </w:r>
          <w:r>
            <w:t>20</w:t>
          </w:r>
          <w:r>
            <w:fldChar w:fldCharType="end"/>
          </w:r>
          <w:r>
            <w:fldChar w:fldCharType="end"/>
          </w:r>
        </w:p>
        <w:p>
          <w:pPr>
            <w:pStyle w:val="14"/>
            <w:tabs>
              <w:tab w:val="right" w:leader="dot" w:pos="8600"/>
            </w:tabs>
          </w:pPr>
          <w:r>
            <w:fldChar w:fldCharType="begin"/>
          </w:r>
          <w:r>
            <w:instrText xml:space="preserve"> HYPERLINK \l _Toc15110 </w:instrText>
          </w:r>
          <w:r>
            <w:fldChar w:fldCharType="separate"/>
          </w:r>
          <w:r>
            <w:rPr>
              <w:rFonts w:hint="eastAsia" w:ascii="宋体" w:hAnsi="宋体" w:cs="宋体"/>
              <w:bCs/>
              <w:szCs w:val="28"/>
              <w:lang w:val="en-US" w:eastAsia="zh-CN"/>
            </w:rPr>
            <w:t>三、 单位性质分布</w:t>
          </w:r>
          <w:r>
            <w:tab/>
          </w:r>
          <w:r>
            <w:fldChar w:fldCharType="begin"/>
          </w:r>
          <w:r>
            <w:instrText xml:space="preserve"> PAGEREF _Toc15110 \h </w:instrText>
          </w:r>
          <w:r>
            <w:fldChar w:fldCharType="separate"/>
          </w:r>
          <w:r>
            <w:t>21</w:t>
          </w:r>
          <w:r>
            <w:fldChar w:fldCharType="end"/>
          </w:r>
          <w:r>
            <w:fldChar w:fldCharType="end"/>
          </w:r>
        </w:p>
        <w:p>
          <w:pPr>
            <w:pStyle w:val="14"/>
            <w:tabs>
              <w:tab w:val="right" w:leader="dot" w:pos="8600"/>
            </w:tabs>
          </w:pPr>
          <w:r>
            <w:fldChar w:fldCharType="begin"/>
          </w:r>
          <w:r>
            <w:instrText xml:space="preserve"> HYPERLINK \l _Toc4601 </w:instrText>
          </w:r>
          <w:r>
            <w:fldChar w:fldCharType="separate"/>
          </w:r>
          <w:r>
            <w:rPr>
              <w:rFonts w:hint="eastAsia" w:ascii="宋体" w:hAnsi="宋体" w:cs="宋体"/>
              <w:bCs/>
              <w:szCs w:val="28"/>
              <w:lang w:val="en-US" w:eastAsia="zh-CN"/>
            </w:rPr>
            <w:t>四、 工作岗位分布</w:t>
          </w:r>
          <w:r>
            <w:tab/>
          </w:r>
          <w:r>
            <w:fldChar w:fldCharType="begin"/>
          </w:r>
          <w:r>
            <w:instrText xml:space="preserve"> PAGEREF _Toc4601 \h </w:instrText>
          </w:r>
          <w:r>
            <w:fldChar w:fldCharType="separate"/>
          </w:r>
          <w:r>
            <w:t>22</w:t>
          </w:r>
          <w:r>
            <w:fldChar w:fldCharType="end"/>
          </w:r>
          <w:r>
            <w:fldChar w:fldCharType="end"/>
          </w:r>
        </w:p>
        <w:p>
          <w:pPr>
            <w:pStyle w:val="14"/>
            <w:tabs>
              <w:tab w:val="right" w:leader="dot" w:pos="8600"/>
            </w:tabs>
          </w:pPr>
          <w:r>
            <w:fldChar w:fldCharType="begin"/>
          </w:r>
          <w:r>
            <w:instrText xml:space="preserve"> HYPERLINK \l _Toc22349 </w:instrText>
          </w:r>
          <w:r>
            <w:fldChar w:fldCharType="separate"/>
          </w:r>
          <w:r>
            <w:rPr>
              <w:rFonts w:hint="eastAsia" w:ascii="宋体" w:hAnsi="宋体" w:cs="宋体"/>
              <w:bCs/>
              <w:szCs w:val="28"/>
            </w:rPr>
            <w:t xml:space="preserve">五、 </w:t>
          </w:r>
          <w:r>
            <w:rPr>
              <w:rFonts w:hint="eastAsia" w:ascii="宋体" w:hAnsi="宋体" w:cs="宋体"/>
              <w:bCs/>
              <w:szCs w:val="28"/>
              <w:lang w:val="en-US" w:eastAsia="zh-CN"/>
            </w:rPr>
            <w:t>就业地域流向分析</w:t>
          </w:r>
          <w:r>
            <w:tab/>
          </w:r>
          <w:r>
            <w:fldChar w:fldCharType="begin"/>
          </w:r>
          <w:r>
            <w:instrText xml:space="preserve"> PAGEREF _Toc22349 \h </w:instrText>
          </w:r>
          <w:r>
            <w:fldChar w:fldCharType="separate"/>
          </w:r>
          <w:r>
            <w:t>23</w:t>
          </w:r>
          <w:r>
            <w:fldChar w:fldCharType="end"/>
          </w:r>
          <w:r>
            <w:fldChar w:fldCharType="end"/>
          </w:r>
        </w:p>
        <w:p>
          <w:pPr>
            <w:pStyle w:val="14"/>
            <w:tabs>
              <w:tab w:val="right" w:leader="dot" w:pos="8600"/>
            </w:tabs>
          </w:pPr>
          <w:r>
            <w:fldChar w:fldCharType="begin"/>
          </w:r>
          <w:r>
            <w:instrText xml:space="preserve"> HYPERLINK \l _Toc30133 </w:instrText>
          </w:r>
          <w:r>
            <w:fldChar w:fldCharType="separate"/>
          </w:r>
          <w:r>
            <w:rPr>
              <w:rFonts w:hint="eastAsia"/>
              <w:szCs w:val="28"/>
              <w:lang w:val="en-US" w:eastAsia="zh-CN"/>
            </w:rPr>
            <w:t xml:space="preserve">六、 </w:t>
          </w:r>
          <w:r>
            <w:rPr>
              <w:rFonts w:hint="eastAsia" w:ascii="宋体" w:hAnsi="宋体" w:cs="宋体"/>
              <w:bCs/>
              <w:szCs w:val="28"/>
              <w:lang w:val="en-US" w:eastAsia="zh-CN"/>
            </w:rPr>
            <w:t>毕业生</w:t>
          </w:r>
          <w:r>
            <w:rPr>
              <w:rFonts w:hint="eastAsia"/>
              <w:lang w:val="en-US" w:eastAsia="zh-CN"/>
            </w:rPr>
            <w:t>留皖就业情况</w:t>
          </w:r>
          <w:r>
            <w:tab/>
          </w:r>
          <w:r>
            <w:fldChar w:fldCharType="begin"/>
          </w:r>
          <w:r>
            <w:instrText xml:space="preserve"> PAGEREF _Toc30133 \h </w:instrText>
          </w:r>
          <w:r>
            <w:fldChar w:fldCharType="separate"/>
          </w:r>
          <w:r>
            <w:t>28</w:t>
          </w:r>
          <w:r>
            <w:fldChar w:fldCharType="end"/>
          </w:r>
          <w:r>
            <w:fldChar w:fldCharType="end"/>
          </w:r>
        </w:p>
        <w:p>
          <w:pPr>
            <w:pStyle w:val="14"/>
            <w:tabs>
              <w:tab w:val="right" w:leader="dot" w:pos="8600"/>
            </w:tabs>
          </w:pPr>
          <w:r>
            <w:fldChar w:fldCharType="begin"/>
          </w:r>
          <w:r>
            <w:instrText xml:space="preserve"> HYPERLINK \l _Toc10369 </w:instrText>
          </w:r>
          <w:r>
            <w:fldChar w:fldCharType="separate"/>
          </w:r>
          <w:r>
            <w:rPr>
              <w:rFonts w:hint="eastAsia"/>
              <w:szCs w:val="28"/>
              <w:lang w:val="en-US" w:eastAsia="zh-CN"/>
            </w:rPr>
            <w:t xml:space="preserve">七、 </w:t>
          </w:r>
          <w:r>
            <w:rPr>
              <w:rFonts w:hint="eastAsia" w:ascii="宋体" w:hAnsi="宋体" w:cs="宋体"/>
              <w:bCs/>
              <w:szCs w:val="28"/>
              <w:lang w:val="en-US" w:eastAsia="zh-CN"/>
            </w:rPr>
            <w:t>毕业生</w:t>
          </w:r>
          <w:r>
            <w:rPr>
              <w:rFonts w:hint="eastAsia"/>
              <w:lang w:val="en-US" w:eastAsia="zh-CN"/>
            </w:rPr>
            <w:t>人才回报情况</w:t>
          </w:r>
          <w:r>
            <w:tab/>
          </w:r>
          <w:r>
            <w:fldChar w:fldCharType="begin"/>
          </w:r>
          <w:r>
            <w:instrText xml:space="preserve"> PAGEREF _Toc10369 \h </w:instrText>
          </w:r>
          <w:r>
            <w:fldChar w:fldCharType="separate"/>
          </w:r>
          <w:r>
            <w:t>30</w:t>
          </w:r>
          <w:r>
            <w:fldChar w:fldCharType="end"/>
          </w:r>
          <w:r>
            <w:fldChar w:fldCharType="end"/>
          </w:r>
        </w:p>
        <w:p>
          <w:pPr>
            <w:pStyle w:val="14"/>
            <w:tabs>
              <w:tab w:val="right" w:leader="dot" w:pos="8600"/>
            </w:tabs>
          </w:pPr>
          <w:r>
            <w:fldChar w:fldCharType="begin"/>
          </w:r>
          <w:r>
            <w:instrText xml:space="preserve"> HYPERLINK \l _Toc6790 </w:instrText>
          </w:r>
          <w:r>
            <w:fldChar w:fldCharType="separate"/>
          </w:r>
          <w:r>
            <w:rPr>
              <w:rFonts w:hint="eastAsia"/>
              <w:szCs w:val="28"/>
              <w:lang w:val="en-US" w:eastAsia="zh-CN"/>
            </w:rPr>
            <w:t xml:space="preserve">八、 </w:t>
          </w:r>
          <w:r>
            <w:rPr>
              <w:rFonts w:hint="eastAsia" w:ascii="宋体" w:hAnsi="宋体" w:cs="宋体"/>
              <w:bCs/>
              <w:szCs w:val="28"/>
              <w:lang w:val="en-US" w:eastAsia="zh-CN"/>
            </w:rPr>
            <w:t>毕业生</w:t>
          </w:r>
          <w:r>
            <w:rPr>
              <w:rFonts w:hint="eastAsia"/>
              <w:lang w:val="en-US" w:eastAsia="zh-CN"/>
            </w:rPr>
            <w:t>回流就业情况</w:t>
          </w:r>
          <w:r>
            <w:tab/>
          </w:r>
          <w:r>
            <w:fldChar w:fldCharType="begin"/>
          </w:r>
          <w:r>
            <w:instrText xml:space="preserve"> PAGEREF _Toc6790 \h </w:instrText>
          </w:r>
          <w:r>
            <w:fldChar w:fldCharType="separate"/>
          </w:r>
          <w:r>
            <w:t>32</w:t>
          </w:r>
          <w:r>
            <w:fldChar w:fldCharType="end"/>
          </w:r>
          <w:r>
            <w:fldChar w:fldCharType="end"/>
          </w:r>
        </w:p>
        <w:p>
          <w:pPr>
            <w:pStyle w:val="12"/>
            <w:tabs>
              <w:tab w:val="right" w:leader="dot" w:pos="8600"/>
            </w:tabs>
          </w:pPr>
          <w:r>
            <w:fldChar w:fldCharType="begin"/>
          </w:r>
          <w:r>
            <w:instrText xml:space="preserve"> HYPERLINK \l _Toc18411 </w:instrText>
          </w:r>
          <w:r>
            <w:fldChar w:fldCharType="separate"/>
          </w:r>
          <w:r>
            <w:rPr>
              <w:rFonts w:hint="eastAsia"/>
            </w:rPr>
            <w:t>第</w:t>
          </w:r>
          <w:r>
            <w:rPr>
              <w:rFonts w:hint="eastAsia"/>
              <w:lang w:val="en-US" w:eastAsia="zh-CN"/>
            </w:rPr>
            <w:t>四</w:t>
          </w:r>
          <w:r>
            <w:rPr>
              <w:rFonts w:hint="eastAsia"/>
            </w:rPr>
            <w:t xml:space="preserve">部分 </w:t>
          </w:r>
          <w:r>
            <w:rPr>
              <w:rFonts w:hint="eastAsia"/>
              <w:lang w:eastAsia="zh-CN"/>
            </w:rPr>
            <w:t>毕业生</w:t>
          </w:r>
          <w:r>
            <w:rPr>
              <w:rFonts w:hint="eastAsia"/>
              <w:lang w:val="en-US" w:eastAsia="zh-CN"/>
            </w:rPr>
            <w:t>升学</w:t>
          </w:r>
          <w:r>
            <w:rPr>
              <w:rFonts w:hint="eastAsia"/>
            </w:rPr>
            <w:t>情况</w:t>
          </w:r>
          <w:r>
            <w:tab/>
          </w:r>
          <w:r>
            <w:fldChar w:fldCharType="begin"/>
          </w:r>
          <w:r>
            <w:instrText xml:space="preserve"> PAGEREF _Toc18411 \h </w:instrText>
          </w:r>
          <w:r>
            <w:fldChar w:fldCharType="separate"/>
          </w:r>
          <w:r>
            <w:t>33</w:t>
          </w:r>
          <w:r>
            <w:fldChar w:fldCharType="end"/>
          </w:r>
          <w:r>
            <w:fldChar w:fldCharType="end"/>
          </w:r>
        </w:p>
        <w:p>
          <w:pPr>
            <w:pStyle w:val="12"/>
            <w:tabs>
              <w:tab w:val="right" w:leader="dot" w:pos="8600"/>
            </w:tabs>
          </w:pPr>
          <w:r>
            <w:fldChar w:fldCharType="begin"/>
          </w:r>
          <w:r>
            <w:instrText xml:space="preserve"> HYPERLINK \l _Toc3238 </w:instrText>
          </w:r>
          <w:r>
            <w:fldChar w:fldCharType="separate"/>
          </w:r>
          <w:r>
            <w:rPr>
              <w:rFonts w:hint="eastAsia"/>
              <w:lang w:val="en-US" w:eastAsia="zh-CN"/>
            </w:rPr>
            <w:t>第五部分 毕业生对教育教学的反馈</w:t>
          </w:r>
          <w:r>
            <w:tab/>
          </w:r>
          <w:r>
            <w:fldChar w:fldCharType="begin"/>
          </w:r>
          <w:r>
            <w:instrText xml:space="preserve"> PAGEREF _Toc3238 \h </w:instrText>
          </w:r>
          <w:r>
            <w:fldChar w:fldCharType="separate"/>
          </w:r>
          <w:r>
            <w:t>35</w:t>
          </w:r>
          <w:r>
            <w:fldChar w:fldCharType="end"/>
          </w:r>
          <w:r>
            <w:fldChar w:fldCharType="end"/>
          </w:r>
        </w:p>
        <w:p>
          <w:pPr>
            <w:pStyle w:val="14"/>
            <w:tabs>
              <w:tab w:val="right" w:leader="dot" w:pos="8600"/>
            </w:tabs>
          </w:pPr>
          <w:r>
            <w:fldChar w:fldCharType="begin"/>
          </w:r>
          <w:r>
            <w:instrText xml:space="preserve"> HYPERLINK \l _Toc14223 </w:instrText>
          </w:r>
          <w:r>
            <w:fldChar w:fldCharType="separate"/>
          </w:r>
          <w:r>
            <w:rPr>
              <w:rFonts w:hint="eastAsia"/>
              <w:szCs w:val="28"/>
              <w:lang w:val="en-US" w:eastAsia="zh-CN"/>
            </w:rPr>
            <w:t xml:space="preserve">一、 </w:t>
          </w:r>
          <w:r>
            <w:rPr>
              <w:rFonts w:hint="eastAsia"/>
              <w:lang w:val="en-US" w:eastAsia="zh-CN"/>
            </w:rPr>
            <w:t>毕业生求职状况分析</w:t>
          </w:r>
          <w:r>
            <w:tab/>
          </w:r>
          <w:r>
            <w:fldChar w:fldCharType="begin"/>
          </w:r>
          <w:r>
            <w:instrText xml:space="preserve"> PAGEREF _Toc14223 \h </w:instrText>
          </w:r>
          <w:r>
            <w:fldChar w:fldCharType="separate"/>
          </w:r>
          <w:r>
            <w:t>37</w:t>
          </w:r>
          <w:r>
            <w:fldChar w:fldCharType="end"/>
          </w:r>
          <w:r>
            <w:fldChar w:fldCharType="end"/>
          </w:r>
        </w:p>
        <w:p>
          <w:pPr>
            <w:pStyle w:val="14"/>
            <w:tabs>
              <w:tab w:val="right" w:leader="dot" w:pos="8600"/>
            </w:tabs>
          </w:pPr>
          <w:r>
            <w:fldChar w:fldCharType="begin"/>
          </w:r>
          <w:r>
            <w:instrText xml:space="preserve"> HYPERLINK \l _Toc13739 </w:instrText>
          </w:r>
          <w:r>
            <w:fldChar w:fldCharType="separate"/>
          </w:r>
          <w:r>
            <w:rPr>
              <w:rFonts w:hint="eastAsia"/>
              <w:szCs w:val="28"/>
              <w:lang w:val="en-US" w:eastAsia="zh-CN"/>
            </w:rPr>
            <w:t xml:space="preserve">二、 </w:t>
          </w:r>
          <w:r>
            <w:rPr>
              <w:rFonts w:hint="eastAsia"/>
              <w:lang w:val="en-US" w:eastAsia="zh-CN"/>
            </w:rPr>
            <w:t>毕业生求职过程分析</w:t>
          </w:r>
          <w:r>
            <w:tab/>
          </w:r>
          <w:r>
            <w:fldChar w:fldCharType="begin"/>
          </w:r>
          <w:r>
            <w:instrText xml:space="preserve"> PAGEREF _Toc13739 \h </w:instrText>
          </w:r>
          <w:r>
            <w:fldChar w:fldCharType="separate"/>
          </w:r>
          <w:r>
            <w:t>43</w:t>
          </w:r>
          <w:r>
            <w:fldChar w:fldCharType="end"/>
          </w:r>
          <w:r>
            <w:fldChar w:fldCharType="end"/>
          </w:r>
        </w:p>
        <w:p>
          <w:pPr>
            <w:pStyle w:val="14"/>
            <w:tabs>
              <w:tab w:val="right" w:leader="dot" w:pos="8600"/>
            </w:tabs>
          </w:pPr>
          <w:r>
            <w:fldChar w:fldCharType="begin"/>
          </w:r>
          <w:r>
            <w:instrText xml:space="preserve"> HYPERLINK \l _Toc4544 </w:instrText>
          </w:r>
          <w:r>
            <w:fldChar w:fldCharType="separate"/>
          </w:r>
          <w:r>
            <w:rPr>
              <w:rFonts w:hint="eastAsia"/>
              <w:szCs w:val="28"/>
              <w:lang w:val="en-US" w:eastAsia="zh-CN"/>
            </w:rPr>
            <w:t xml:space="preserve">三、 </w:t>
          </w:r>
          <w:r>
            <w:rPr>
              <w:rFonts w:hint="eastAsia"/>
              <w:lang w:val="en-US" w:eastAsia="zh-CN"/>
            </w:rPr>
            <w:t>毕业生就职分析</w:t>
          </w:r>
          <w:r>
            <w:tab/>
          </w:r>
          <w:r>
            <w:fldChar w:fldCharType="begin"/>
          </w:r>
          <w:r>
            <w:instrText xml:space="preserve"> PAGEREF _Toc4544 \h </w:instrText>
          </w:r>
          <w:r>
            <w:fldChar w:fldCharType="separate"/>
          </w:r>
          <w:r>
            <w:t>53</w:t>
          </w:r>
          <w:r>
            <w:fldChar w:fldCharType="end"/>
          </w:r>
          <w:r>
            <w:fldChar w:fldCharType="end"/>
          </w:r>
        </w:p>
        <w:p>
          <w:pPr>
            <w:pStyle w:val="14"/>
            <w:tabs>
              <w:tab w:val="right" w:leader="dot" w:pos="8600"/>
            </w:tabs>
          </w:pPr>
          <w:r>
            <w:fldChar w:fldCharType="begin"/>
          </w:r>
          <w:r>
            <w:instrText xml:space="preserve"> HYPERLINK \l _Toc16759 </w:instrText>
          </w:r>
          <w:r>
            <w:fldChar w:fldCharType="separate"/>
          </w:r>
          <w:r>
            <w:rPr>
              <w:rFonts w:hint="eastAsia"/>
              <w:szCs w:val="28"/>
              <w:lang w:val="en-US" w:eastAsia="zh-CN"/>
            </w:rPr>
            <w:t xml:space="preserve">四、 </w:t>
          </w:r>
          <w:r>
            <w:rPr>
              <w:rFonts w:hint="eastAsia"/>
              <w:lang w:val="en-US" w:eastAsia="zh-CN"/>
            </w:rPr>
            <w:t>毕业生升学状况分析</w:t>
          </w:r>
          <w:r>
            <w:tab/>
          </w:r>
          <w:r>
            <w:fldChar w:fldCharType="begin"/>
          </w:r>
          <w:r>
            <w:instrText xml:space="preserve"> PAGEREF _Toc16759 \h </w:instrText>
          </w:r>
          <w:r>
            <w:fldChar w:fldCharType="separate"/>
          </w:r>
          <w:r>
            <w:t>66</w:t>
          </w:r>
          <w:r>
            <w:fldChar w:fldCharType="end"/>
          </w:r>
          <w:r>
            <w:fldChar w:fldCharType="end"/>
          </w:r>
        </w:p>
        <w:p>
          <w:pPr>
            <w:pStyle w:val="14"/>
            <w:tabs>
              <w:tab w:val="right" w:leader="dot" w:pos="8600"/>
            </w:tabs>
          </w:pPr>
          <w:r>
            <w:fldChar w:fldCharType="begin"/>
          </w:r>
          <w:r>
            <w:instrText xml:space="preserve"> HYPERLINK \l _Toc20698 </w:instrText>
          </w:r>
          <w:r>
            <w:fldChar w:fldCharType="separate"/>
          </w:r>
          <w:r>
            <w:rPr>
              <w:rFonts w:hint="default"/>
              <w:szCs w:val="28"/>
              <w:lang w:val="en-US" w:eastAsia="zh-CN"/>
            </w:rPr>
            <w:t xml:space="preserve">五、 </w:t>
          </w:r>
          <w:r>
            <w:rPr>
              <w:rFonts w:hint="eastAsia"/>
              <w:lang w:val="en-US" w:eastAsia="zh-CN"/>
            </w:rPr>
            <w:t>毕业生自由职业情况分析</w:t>
          </w:r>
          <w:r>
            <w:tab/>
          </w:r>
          <w:r>
            <w:fldChar w:fldCharType="begin"/>
          </w:r>
          <w:r>
            <w:instrText xml:space="preserve"> PAGEREF _Toc20698 \h </w:instrText>
          </w:r>
          <w:r>
            <w:fldChar w:fldCharType="separate"/>
          </w:r>
          <w:r>
            <w:t>70</w:t>
          </w:r>
          <w:r>
            <w:fldChar w:fldCharType="end"/>
          </w:r>
          <w:r>
            <w:fldChar w:fldCharType="end"/>
          </w:r>
        </w:p>
        <w:p>
          <w:pPr>
            <w:pStyle w:val="14"/>
            <w:tabs>
              <w:tab w:val="right" w:leader="dot" w:pos="8600"/>
            </w:tabs>
          </w:pPr>
          <w:r>
            <w:fldChar w:fldCharType="begin"/>
          </w:r>
          <w:r>
            <w:instrText xml:space="preserve"> HYPERLINK \l _Toc18377 </w:instrText>
          </w:r>
          <w:r>
            <w:fldChar w:fldCharType="separate"/>
          </w:r>
          <w:r>
            <w:rPr>
              <w:rFonts w:hint="eastAsia"/>
              <w:szCs w:val="28"/>
              <w:lang w:val="en-US" w:eastAsia="zh-CN"/>
            </w:rPr>
            <w:t xml:space="preserve">六、 </w:t>
          </w:r>
          <w:r>
            <w:rPr>
              <w:rFonts w:hint="eastAsia"/>
              <w:lang w:val="en-US" w:eastAsia="zh-CN"/>
            </w:rPr>
            <w:t>毕业生未就业分析</w:t>
          </w:r>
          <w:r>
            <w:tab/>
          </w:r>
          <w:r>
            <w:fldChar w:fldCharType="begin"/>
          </w:r>
          <w:r>
            <w:instrText xml:space="preserve"> PAGEREF _Toc18377 \h </w:instrText>
          </w:r>
          <w:r>
            <w:fldChar w:fldCharType="separate"/>
          </w:r>
          <w:r>
            <w:t>72</w:t>
          </w:r>
          <w:r>
            <w:fldChar w:fldCharType="end"/>
          </w:r>
          <w:r>
            <w:fldChar w:fldCharType="end"/>
          </w:r>
        </w:p>
        <w:p>
          <w:pPr>
            <w:pStyle w:val="14"/>
            <w:tabs>
              <w:tab w:val="right" w:leader="dot" w:pos="8600"/>
            </w:tabs>
          </w:pPr>
          <w:r>
            <w:fldChar w:fldCharType="begin"/>
          </w:r>
          <w:r>
            <w:instrText xml:space="preserve"> HYPERLINK \l _Toc12711 </w:instrText>
          </w:r>
          <w:r>
            <w:fldChar w:fldCharType="separate"/>
          </w:r>
          <w:r>
            <w:rPr>
              <w:rFonts w:hint="eastAsia"/>
              <w:szCs w:val="28"/>
              <w:lang w:val="en-US" w:eastAsia="zh-CN"/>
            </w:rPr>
            <w:t xml:space="preserve">七、 </w:t>
          </w:r>
          <w:r>
            <w:rPr>
              <w:rFonts w:hint="eastAsia"/>
              <w:lang w:val="en-US" w:eastAsia="zh-CN"/>
            </w:rPr>
            <w:t>毕业生满意度分析</w:t>
          </w:r>
          <w:r>
            <w:tab/>
          </w:r>
          <w:r>
            <w:fldChar w:fldCharType="begin"/>
          </w:r>
          <w:r>
            <w:instrText xml:space="preserve"> PAGEREF _Toc12711 \h </w:instrText>
          </w:r>
          <w:r>
            <w:fldChar w:fldCharType="separate"/>
          </w:r>
          <w:r>
            <w:t>73</w:t>
          </w:r>
          <w:r>
            <w:fldChar w:fldCharType="end"/>
          </w:r>
          <w:r>
            <w:fldChar w:fldCharType="end"/>
          </w:r>
        </w:p>
        <w:p>
          <w:pPr>
            <w:pStyle w:val="12"/>
            <w:tabs>
              <w:tab w:val="right" w:leader="dot" w:pos="8600"/>
            </w:tabs>
          </w:pPr>
          <w:r>
            <w:fldChar w:fldCharType="begin"/>
          </w:r>
          <w:r>
            <w:instrText xml:space="preserve"> HYPERLINK \l _Toc3642 </w:instrText>
          </w:r>
          <w:r>
            <w:fldChar w:fldCharType="separate"/>
          </w:r>
          <w:r>
            <w:rPr>
              <w:rFonts w:hint="eastAsia"/>
              <w:highlight w:val="none"/>
              <w:lang w:val="en-US" w:eastAsia="zh-CN"/>
            </w:rPr>
            <w:t>第六部分 市场需求状况分析报告</w:t>
          </w:r>
          <w:r>
            <w:tab/>
          </w:r>
          <w:r>
            <w:fldChar w:fldCharType="begin"/>
          </w:r>
          <w:r>
            <w:instrText xml:space="preserve"> PAGEREF _Toc3642 \h </w:instrText>
          </w:r>
          <w:r>
            <w:fldChar w:fldCharType="separate"/>
          </w:r>
          <w:r>
            <w:t>94</w:t>
          </w:r>
          <w:r>
            <w:fldChar w:fldCharType="end"/>
          </w:r>
          <w:r>
            <w:fldChar w:fldCharType="end"/>
          </w:r>
        </w:p>
        <w:p>
          <w:pPr>
            <w:pStyle w:val="14"/>
            <w:tabs>
              <w:tab w:val="right" w:leader="dot" w:pos="8600"/>
            </w:tabs>
          </w:pPr>
          <w:r>
            <w:fldChar w:fldCharType="begin"/>
          </w:r>
          <w:r>
            <w:instrText xml:space="preserve"> HYPERLINK \l _Toc22380 </w:instrText>
          </w:r>
          <w:r>
            <w:fldChar w:fldCharType="separate"/>
          </w:r>
          <w:r>
            <w:rPr>
              <w:rFonts w:hint="eastAsia" w:ascii="宋体" w:hAnsi="宋体" w:cs="宋体"/>
              <w:bCs/>
              <w:kern w:val="2"/>
              <w:szCs w:val="28"/>
              <w:lang w:val="en-US" w:eastAsia="zh-CN" w:bidi="ar-SA"/>
            </w:rPr>
            <w:t xml:space="preserve">一、 </w:t>
          </w:r>
          <w:r>
            <w:rPr>
              <w:rFonts w:hint="eastAsia"/>
              <w:highlight w:val="none"/>
              <w:lang w:val="en-US" w:eastAsia="zh-CN"/>
            </w:rPr>
            <w:t>用人单位情况招聘过程分析</w:t>
          </w:r>
          <w:r>
            <w:tab/>
          </w:r>
          <w:r>
            <w:fldChar w:fldCharType="begin"/>
          </w:r>
          <w:r>
            <w:instrText xml:space="preserve"> PAGEREF _Toc22380 \h </w:instrText>
          </w:r>
          <w:r>
            <w:fldChar w:fldCharType="separate"/>
          </w:r>
          <w:r>
            <w:t>95</w:t>
          </w:r>
          <w:r>
            <w:fldChar w:fldCharType="end"/>
          </w:r>
          <w:r>
            <w:fldChar w:fldCharType="end"/>
          </w:r>
        </w:p>
        <w:p>
          <w:pPr>
            <w:pStyle w:val="14"/>
            <w:tabs>
              <w:tab w:val="right" w:leader="dot" w:pos="8600"/>
            </w:tabs>
          </w:pPr>
          <w:r>
            <w:fldChar w:fldCharType="begin"/>
          </w:r>
          <w:r>
            <w:instrText xml:space="preserve"> HYPERLINK \l _Toc5830 </w:instrText>
          </w:r>
          <w:r>
            <w:fldChar w:fldCharType="separate"/>
          </w:r>
          <w:r>
            <w:rPr>
              <w:rFonts w:hint="eastAsia"/>
              <w:szCs w:val="28"/>
              <w:lang w:val="en-US" w:eastAsia="zh-CN"/>
            </w:rPr>
            <w:t xml:space="preserve">二、 </w:t>
          </w:r>
          <w:r>
            <w:rPr>
              <w:rFonts w:hint="eastAsia"/>
              <w:highlight w:val="none"/>
              <w:lang w:val="en-US" w:eastAsia="zh-CN"/>
            </w:rPr>
            <w:t>用人单位对教育教学的反馈</w:t>
          </w:r>
          <w:r>
            <w:tab/>
          </w:r>
          <w:r>
            <w:fldChar w:fldCharType="begin"/>
          </w:r>
          <w:r>
            <w:instrText xml:space="preserve"> PAGEREF _Toc5830 \h </w:instrText>
          </w:r>
          <w:r>
            <w:fldChar w:fldCharType="separate"/>
          </w:r>
          <w:r>
            <w:t>101</w:t>
          </w:r>
          <w:r>
            <w:fldChar w:fldCharType="end"/>
          </w:r>
          <w:r>
            <w:fldChar w:fldCharType="end"/>
          </w:r>
        </w:p>
        <w:p>
          <w:pPr>
            <w:pStyle w:val="12"/>
            <w:tabs>
              <w:tab w:val="right" w:leader="dot" w:pos="8600"/>
            </w:tabs>
          </w:pPr>
          <w:r>
            <w:fldChar w:fldCharType="begin"/>
          </w:r>
          <w:r>
            <w:instrText xml:space="preserve"> HYPERLINK \l _Toc8405 </w:instrText>
          </w:r>
          <w:r>
            <w:fldChar w:fldCharType="separate"/>
          </w:r>
          <w:r>
            <w:rPr>
              <w:rFonts w:hint="eastAsia"/>
              <w:highlight w:val="none"/>
            </w:rPr>
            <w:t>第</w:t>
          </w:r>
          <w:r>
            <w:rPr>
              <w:rFonts w:hint="eastAsia"/>
              <w:highlight w:val="none"/>
              <w:lang w:val="en-US" w:eastAsia="zh-CN"/>
            </w:rPr>
            <w:t>八</w:t>
          </w:r>
          <w:r>
            <w:rPr>
              <w:rFonts w:hint="eastAsia"/>
              <w:highlight w:val="none"/>
            </w:rPr>
            <w:t>部分 毕业生就业工作的特色举措</w:t>
          </w:r>
          <w:r>
            <w:tab/>
          </w:r>
          <w:r>
            <w:fldChar w:fldCharType="begin"/>
          </w:r>
          <w:r>
            <w:instrText xml:space="preserve"> PAGEREF _Toc8405 \h </w:instrText>
          </w:r>
          <w:r>
            <w:fldChar w:fldCharType="separate"/>
          </w:r>
          <w:r>
            <w:t>107</w:t>
          </w:r>
          <w:r>
            <w:fldChar w:fldCharType="end"/>
          </w:r>
          <w:r>
            <w:fldChar w:fldCharType="end"/>
          </w:r>
        </w:p>
        <w:p>
          <w:pPr>
            <w:pStyle w:val="12"/>
            <w:tabs>
              <w:tab w:val="right" w:leader="dot" w:pos="8600"/>
            </w:tabs>
          </w:pPr>
          <w:r>
            <w:fldChar w:fldCharType="begin"/>
          </w:r>
          <w:r>
            <w:instrText xml:space="preserve"> HYPERLINK \l _Toc8068 </w:instrText>
          </w:r>
          <w:r>
            <w:fldChar w:fldCharType="separate"/>
          </w:r>
          <w:r>
            <w:rPr>
              <w:rFonts w:hint="eastAsia"/>
              <w:highlight w:val="none"/>
              <w:lang w:val="en-US" w:eastAsia="zh-CN"/>
            </w:rPr>
            <w:t>结束语</w:t>
          </w:r>
          <w:r>
            <w:tab/>
          </w:r>
          <w:r>
            <w:fldChar w:fldCharType="begin"/>
          </w:r>
          <w:r>
            <w:instrText xml:space="preserve"> PAGEREF _Toc8068 \h </w:instrText>
          </w:r>
          <w:r>
            <w:fldChar w:fldCharType="separate"/>
          </w:r>
          <w:r>
            <w:t>107</w:t>
          </w:r>
          <w:r>
            <w:fldChar w:fldCharType="end"/>
          </w:r>
          <w:r>
            <w:fldChar w:fldCharType="end"/>
          </w:r>
        </w:p>
        <w:p>
          <w:r>
            <w:fldChar w:fldCharType="end"/>
          </w:r>
        </w:p>
      </w:sdtContent>
    </w:sdt>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bookmarkStart w:id="1" w:name="_Toc20763"/>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r>
        <w:rPr>
          <w:rFonts w:hint="eastAsia" w:ascii="黑体" w:hAnsi="黑体" w:eastAsia="黑体" w:cs="黑体"/>
          <w:b w:val="0"/>
          <w:bCs w:val="0"/>
          <w:sz w:val="44"/>
          <w:szCs w:val="44"/>
        </w:rPr>
        <w:t>引  言</w:t>
      </w:r>
      <w:bookmarkEnd w:id="0"/>
      <w:bookmarkEnd w:id="1"/>
    </w:p>
    <w:p>
      <w:pPr>
        <w:bidi w:val="0"/>
        <w:rPr>
          <w:rFonts w:hint="eastAsia"/>
          <w:lang w:val="en-US" w:eastAsia="zh-CN"/>
        </w:rPr>
      </w:pPr>
      <w:bookmarkStart w:id="2" w:name="_Toc30107"/>
      <w:bookmarkStart w:id="3" w:name="_Toc6374"/>
      <w:bookmarkStart w:id="4" w:name="_Toc4376"/>
      <w:bookmarkStart w:id="5" w:name="_Toc9218"/>
      <w:r>
        <w:rPr>
          <w:rFonts w:hint="eastAsia"/>
          <w:lang w:val="en-US" w:eastAsia="zh-CN"/>
        </w:rPr>
        <w:t>安徽艺术职业学院是省属全日制综合性高等艺术院校，办学历史悠久，前身安徽艺术学校创办于1956年。1996年安徽艺术学校与安徽大学联合开办安徽大学艺术学院，开始招收本、毕业生。2003年6月经安徽省人民政府批准将安徽省电影学校并入，成立安徽艺术职业学院。建校60多年来，学院肩负着为传承和弘扬优秀文化艺术，培养艺术类专门人才的重任，根植于安徽丰厚的文化土壤，孕育了自身的办学传统和办学特色，成为安徽文化艺术人才培养的基地。 </w:t>
      </w:r>
    </w:p>
    <w:p>
      <w:pPr>
        <w:bidi w:val="0"/>
        <w:rPr>
          <w:rFonts w:hint="eastAsia"/>
          <w:lang w:val="en-US" w:eastAsia="zh-CN"/>
        </w:rPr>
      </w:pPr>
      <w:r>
        <w:rPr>
          <w:rFonts w:hint="eastAsia"/>
          <w:lang w:val="en-US" w:eastAsia="zh-CN"/>
        </w:rPr>
        <w:t>目前，学院辖宣城路和丹霞路两个校区，在校生含本科、专科、高职、中专四个办学层次。下设美术学院、戏剧学院、新闻传媒学院、音乐学院、舞蹈学院、综合艺术学院、戏曲学院、马克思主义学院、人文学院，开设艺术设计、音乐表演等22个专业（其中省级特色专业2个），构建音乐、戏剧、舞蹈、美术、影视艺术、艺术设计6大专业群。戏曲表演专业和舞蹈表演专业2个“中央财政支持高等职业学校提升专业服务产业发展能力项目”通过专家组验收。</w:t>
      </w:r>
    </w:p>
    <w:p>
      <w:pPr>
        <w:bidi w:val="0"/>
        <w:rPr>
          <w:rFonts w:hint="eastAsia"/>
          <w:lang w:val="en-US" w:eastAsia="zh-CN"/>
        </w:rPr>
      </w:pPr>
      <w:r>
        <w:rPr>
          <w:rFonts w:hint="eastAsia"/>
          <w:lang w:val="en-US" w:eastAsia="zh-CN"/>
        </w:rPr>
        <w:t>学院英才云集，名师荟萃。200多名在职教师中，具有高级职称50多名。先后聘请周小燕、姜若瑜、梁伯龙、朴东升、余秋雨、彭家鹏、袁运生、宋飞、徐昌俊、徐淑英、王中山、崔新琴、马梅、焦小健、李文、解晓东、吴亚玲、黄新德、吴琼等40余名专家学者为学院客座教授。在声乐、器乐、舞蹈、戏曲、戏剧、美术设计、影视传媒等专业均拥有一批全省一流水平的中青年教师，多次荣获国家级省级专业赛事大奖和“省级教学名师”、省级教学团队等荣誉称号。</w:t>
      </w:r>
    </w:p>
    <w:p>
      <w:pPr>
        <w:bidi w:val="0"/>
        <w:rPr>
          <w:rFonts w:hint="eastAsia"/>
          <w:lang w:val="en-US" w:eastAsia="zh-CN"/>
        </w:rPr>
      </w:pPr>
      <w:r>
        <w:rPr>
          <w:rFonts w:hint="eastAsia"/>
          <w:lang w:val="en-US" w:eastAsia="zh-CN"/>
        </w:rPr>
        <w:t>60多年来，学院为国家培养数万名合格的艺术人才，多数已成为各类艺术表演团体、文化企事业单位的专业骨干，其中有连续3次获得全国舞蹈比赛最高奖的解放军艺术学院舞蹈系主任刘敏少将、全国舞蹈比赛最高奖得主华超，著名作曲家、天津音乐学院院长徐昌俊，黄梅戏“五朵金花”马兰、吴琼、杨俊、袁玫、吴亚玲，黄新德、李龙斌、蒋建国、张辉等10位“梅花奖”得主，中国第一位扬琴女硕士李玲玲，中国第一位琵琶女博士李景侠，著名歌唱家马梅、张燕、迟黎明、解晓东，青年歌唱家王莉，著名导演尤小刚，著名画家朱松发、徐德隆、葛新民、中国美术学院博导焦小健、中央电视台少儿频道主持人赵一天、青年影视演员焦俊艳等众多艺术界知名人士。</w:t>
      </w:r>
    </w:p>
    <w:p>
      <w:pPr>
        <w:bidi w:val="0"/>
        <w:rPr>
          <w:rFonts w:hint="eastAsia"/>
          <w:lang w:val="en-US" w:eastAsia="zh-CN"/>
        </w:rPr>
      </w:pPr>
      <w:r>
        <w:rPr>
          <w:rFonts w:hint="eastAsia"/>
          <w:lang w:val="en-US" w:eastAsia="zh-CN"/>
        </w:rPr>
        <w:t>近年来，学院坚持以人为本，以质立校，求实创新，严抓管理，励精图治，锐意进取，走出了一条面向社会需要，适应市场经济发展，具有鲜明办学特色和艺术专业优势的办学新路。学院先后与中国音乐学院、北京舞蹈学院、安徽大学等院校联合开展艺术成人本科教育。学院注重学生实践能力和创新能力的培养，在文化部文华艺术院校奖“桃李杯”舞蹈大赛、全国职业院校技能大赛、中国校园戏剧节、“荷花奖”全国舞蹈比赛、“戏剧小梅花”比赛、“CCTV杯”舞蹈比赛、全国美展、中国青少年戏曲大赛、全国高校数字艺术作品大赛、全国大学生广告艺术大赛等一系列国内重大艺术赛事中不断摘金夺银挂铜。先后组织学生参加安徽省11届运动会开闭幕式文艺演出、全国第四届体育运动大会开幕式文艺演出、中博会文艺演出、奥运会开幕式的暖场演出、建国60周年花车巡游、第一届和第二届中国农民歌会、花鼓灯会、上海世博会安徽活动周演出等，承办安徽省委宣传部、省教育厅、安徽省文化厅主办的“校园大舞台—徽风皖韵进高校”，安徽省委教育工委主办的“宣传贯彻党的十九大精神全省高校巡演”等系列大型文艺演出。学院多次代表国家和安徽省组团出访法国、德国、韩国、乌克兰、波兰等国家和中国台湾、香港等地区，加强了国际间及与海峡两岸的文化交流。</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eastAsia" w:ascii="宋体" w:hAnsi="宋体" w:cs="宋体"/>
          <w:sz w:val="24"/>
          <w:szCs w:val="24"/>
          <w:lang w:val="en-US" w:eastAsia="zh-CN"/>
        </w:rPr>
        <w:t>60多年来，学院汇集了安徽文艺界的精英，积淀了厚重的人文底蕴和艺术氛围，培育了“勤奋、感悟、励志、创新”的学院精神。面对新的发展机遇和挑战，学院以习近平新时代中国特色社会主义思想为引领，以建设“国内一流艺术职业院校”为目标，提升内涵与拓展外延并举，不断提高学院的综合实力和核心竞争力，在稳定中发展，在创新中前进。</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44"/>
          <w:szCs w:val="44"/>
          <w:lang w:val="en-US" w:eastAsia="zh-CN"/>
        </w:rPr>
      </w:pPr>
      <w:bookmarkStart w:id="6" w:name="_Toc8095"/>
      <w:bookmarkStart w:id="7" w:name="_Toc26677"/>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44"/>
          <w:szCs w:val="44"/>
          <w:lang w:val="en-US" w:eastAsia="zh-CN"/>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44"/>
          <w:szCs w:val="44"/>
          <w:lang w:val="en-US" w:eastAsia="zh-CN"/>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44"/>
          <w:szCs w:val="44"/>
          <w:lang w:val="en-US" w:eastAsia="zh-CN"/>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b w:val="0"/>
          <w:bCs w:val="0"/>
          <w:sz w:val="44"/>
          <w:szCs w:val="44"/>
          <w:lang w:val="en-US" w:eastAsia="zh-CN"/>
        </w:rPr>
      </w:pPr>
    </w:p>
    <w:p>
      <w:pPr>
        <w:keepNext w:val="0"/>
        <w:keepLines w:val="0"/>
        <w:pageBreakBefore w:val="0"/>
        <w:widowControl w:val="0"/>
        <w:tabs>
          <w:tab w:val="left" w:pos="4254"/>
        </w:tabs>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val="0"/>
          <w:bCs w:val="0"/>
          <w:sz w:val="44"/>
          <w:szCs w:val="44"/>
        </w:rPr>
      </w:pPr>
      <w:bookmarkStart w:id="8" w:name="_Toc8660"/>
      <w:r>
        <w:rPr>
          <w:rFonts w:hint="eastAsia" w:ascii="黑体" w:hAnsi="黑体" w:eastAsia="黑体" w:cs="黑体"/>
          <w:b w:val="0"/>
          <w:bCs w:val="0"/>
          <w:sz w:val="44"/>
          <w:szCs w:val="44"/>
          <w:lang w:val="en-US" w:eastAsia="zh-CN"/>
        </w:rPr>
        <w:t>报告说明</w:t>
      </w:r>
      <w:bookmarkEnd w:id="2"/>
      <w:bookmarkEnd w:id="6"/>
      <w:bookmarkEnd w:id="7"/>
      <w:bookmarkEnd w:id="8"/>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为全面反映</w:t>
      </w:r>
      <w:r>
        <w:rPr>
          <w:rFonts w:hint="eastAsia" w:ascii="宋体" w:hAnsi="宋体" w:cs="宋体"/>
          <w:sz w:val="24"/>
          <w:szCs w:val="24"/>
          <w:lang w:val="en-US" w:eastAsia="zh-CN"/>
        </w:rPr>
        <w:t>安徽艺术职业学院 2022届毕业生</w:t>
      </w:r>
      <w:r>
        <w:rPr>
          <w:rFonts w:hint="default" w:ascii="宋体" w:hAnsi="宋体" w:cs="宋体"/>
          <w:sz w:val="24"/>
          <w:szCs w:val="24"/>
          <w:lang w:val="en-US" w:eastAsia="zh-CN"/>
        </w:rPr>
        <w:t>的就业状况，有效构建就业与人才培养良性互动长效机制，学校根据《教育部办公厅关于编制发布高校毕业生就业质量年度报告的通知》（教学厅函〔2013〕25号）要求，编制和正式发布《</w:t>
      </w:r>
      <w:r>
        <w:rPr>
          <w:rFonts w:hint="eastAsia" w:ascii="宋体" w:hAnsi="宋体" w:cs="宋体"/>
          <w:sz w:val="24"/>
          <w:szCs w:val="24"/>
          <w:lang w:val="en-US" w:eastAsia="zh-CN"/>
        </w:rPr>
        <w:t>安徽艺术职业学院 2022届毕业生</w:t>
      </w:r>
      <w:r>
        <w:rPr>
          <w:rFonts w:hint="default" w:ascii="宋体" w:hAnsi="宋体" w:cs="宋体"/>
          <w:sz w:val="24"/>
          <w:szCs w:val="24"/>
          <w:lang w:val="en-US" w:eastAsia="zh-CN"/>
        </w:rPr>
        <w:t>就业质量年度报告》。</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本报告数据来源于</w:t>
      </w:r>
      <w:r>
        <w:rPr>
          <w:rFonts w:hint="eastAsia" w:ascii="宋体" w:hAnsi="宋体" w:cs="宋体"/>
          <w:sz w:val="24"/>
          <w:szCs w:val="24"/>
          <w:lang w:val="en-US" w:eastAsia="zh-CN"/>
        </w:rPr>
        <w:t>各</w:t>
      </w:r>
      <w:r>
        <w:rPr>
          <w:rFonts w:hint="default" w:ascii="宋体" w:hAnsi="宋体" w:cs="宋体"/>
          <w:sz w:val="24"/>
          <w:szCs w:val="24"/>
          <w:lang w:val="en-US" w:eastAsia="zh-CN"/>
        </w:rPr>
        <w:t>方面：</w:t>
      </w:r>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lang w:val="en-US" w:eastAsia="zh-CN"/>
        </w:rPr>
      </w:pPr>
      <w:r>
        <w:rPr>
          <w:rFonts w:hint="default" w:ascii="宋体" w:hAnsi="宋体" w:cs="宋体"/>
          <w:sz w:val="24"/>
          <w:szCs w:val="24"/>
          <w:lang w:val="en-US" w:eastAsia="zh-CN"/>
        </w:rPr>
        <w:t>1.安徽省高校毕业生就业管理信息系统。数据统计截止日期为</w:t>
      </w:r>
      <w:r>
        <w:rPr>
          <w:rFonts w:hint="eastAsia" w:ascii="宋体" w:hAnsi="宋体" w:cs="宋体"/>
          <w:sz w:val="24"/>
          <w:szCs w:val="24"/>
          <w:lang w:val="en-US" w:eastAsia="zh-CN"/>
        </w:rPr>
        <w:t>2022</w:t>
      </w:r>
      <w:r>
        <w:rPr>
          <w:rFonts w:hint="default" w:ascii="宋体" w:hAnsi="宋体" w:cs="宋体"/>
          <w:sz w:val="24"/>
          <w:szCs w:val="24"/>
          <w:lang w:val="en-US" w:eastAsia="zh-CN"/>
        </w:rPr>
        <w:t>年</w:t>
      </w:r>
      <w:r>
        <w:rPr>
          <w:rFonts w:hint="eastAsia" w:ascii="宋体" w:hAnsi="宋体" w:cs="宋体"/>
          <w:sz w:val="24"/>
          <w:szCs w:val="24"/>
          <w:lang w:val="en-US" w:eastAsia="zh-CN"/>
        </w:rPr>
        <w:t>8</w:t>
      </w:r>
      <w:r>
        <w:rPr>
          <w:rFonts w:hint="default" w:ascii="宋体" w:hAnsi="宋体" w:cs="宋体"/>
          <w:sz w:val="24"/>
          <w:szCs w:val="24"/>
          <w:lang w:val="en-US" w:eastAsia="zh-CN"/>
        </w:rPr>
        <w:t>月</w:t>
      </w:r>
      <w:r>
        <w:rPr>
          <w:rFonts w:hint="eastAsia" w:ascii="宋体" w:hAnsi="宋体" w:cs="宋体"/>
          <w:sz w:val="24"/>
          <w:szCs w:val="24"/>
          <w:lang w:val="en-US" w:eastAsia="zh-CN"/>
        </w:rPr>
        <w:t>31</w:t>
      </w:r>
      <w:r>
        <w:rPr>
          <w:rFonts w:hint="default" w:ascii="宋体" w:hAnsi="宋体" w:cs="宋体"/>
          <w:sz w:val="24"/>
          <w:szCs w:val="24"/>
          <w:lang w:val="en-US" w:eastAsia="zh-CN"/>
        </w:rPr>
        <w:t>日。所使用的数据主要涉及到</w:t>
      </w:r>
      <w:r>
        <w:rPr>
          <w:rFonts w:hint="eastAsia" w:ascii="宋体" w:hAnsi="宋体" w:cs="宋体"/>
          <w:sz w:val="24"/>
          <w:szCs w:val="24"/>
          <w:lang w:val="en-US" w:eastAsia="zh-CN"/>
        </w:rPr>
        <w:t>2022</w:t>
      </w:r>
      <w:r>
        <w:rPr>
          <w:rFonts w:hint="default" w:ascii="宋体" w:hAnsi="宋体" w:cs="宋体"/>
          <w:sz w:val="24"/>
          <w:szCs w:val="24"/>
          <w:lang w:val="en-US" w:eastAsia="zh-CN"/>
        </w:rPr>
        <w:t>届毕业生的规模与结构、</w:t>
      </w:r>
      <w:r>
        <w:rPr>
          <w:rFonts w:hint="eastAsia" w:ascii="宋体" w:hAnsi="宋体" w:cs="宋体"/>
          <w:sz w:val="24"/>
          <w:szCs w:val="24"/>
          <w:lang w:val="en-US" w:eastAsia="zh-CN"/>
        </w:rPr>
        <w:t>毕业去向落实率</w:t>
      </w:r>
      <w:r>
        <w:rPr>
          <w:rFonts w:hint="default" w:ascii="宋体" w:hAnsi="宋体" w:cs="宋体"/>
          <w:sz w:val="24"/>
          <w:szCs w:val="24"/>
          <w:lang w:val="en-US" w:eastAsia="zh-CN"/>
        </w:rPr>
        <w:t>及毕业去向、就业流向和继续深造等信息；</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r>
        <w:rPr>
          <w:rFonts w:hint="default" w:ascii="宋体" w:hAnsi="宋体" w:cs="宋体"/>
          <w:sz w:val="24"/>
          <w:szCs w:val="24"/>
          <w:lang w:val="en-US" w:eastAsia="zh-CN"/>
        </w:rPr>
        <w:t>2.安徽省大中专毕业生就业指导中心“安徽省</w:t>
      </w:r>
      <w:r>
        <w:rPr>
          <w:rFonts w:hint="eastAsia" w:ascii="宋体" w:hAnsi="宋体" w:cs="宋体"/>
          <w:sz w:val="24"/>
          <w:szCs w:val="24"/>
          <w:lang w:val="en-US" w:eastAsia="zh-CN"/>
        </w:rPr>
        <w:t>2022</w:t>
      </w:r>
      <w:r>
        <w:rPr>
          <w:rFonts w:hint="default" w:ascii="宋体" w:hAnsi="宋体" w:cs="宋体"/>
          <w:sz w:val="24"/>
          <w:szCs w:val="24"/>
          <w:lang w:val="en-US" w:eastAsia="zh-CN"/>
        </w:rPr>
        <w:t>届毕业生就业调查”。调查面向全校所有毕业生，学校共计回收问卷</w:t>
      </w:r>
      <w:r>
        <w:rPr>
          <w:rFonts w:hint="eastAsia" w:ascii="宋体" w:hAnsi="宋体" w:cs="宋体"/>
          <w:sz w:val="24"/>
          <w:szCs w:val="24"/>
          <w:lang w:val="en-US" w:eastAsia="zh-CN"/>
        </w:rPr>
        <w:t>818</w:t>
      </w:r>
      <w:r>
        <w:rPr>
          <w:rFonts w:hint="default" w:ascii="宋体" w:hAnsi="宋体" w:cs="宋体"/>
          <w:sz w:val="24"/>
          <w:szCs w:val="24"/>
          <w:lang w:val="en-US" w:eastAsia="zh-CN"/>
        </w:rPr>
        <w:t>份，回收率为</w:t>
      </w:r>
      <w:r>
        <w:rPr>
          <w:rFonts w:hint="eastAsia" w:ascii="宋体" w:hAnsi="宋体" w:cs="宋体"/>
          <w:sz w:val="24"/>
          <w:szCs w:val="24"/>
          <w:lang w:val="en-US" w:eastAsia="zh-CN"/>
        </w:rPr>
        <w:t>58.26%</w:t>
      </w:r>
      <w:r>
        <w:rPr>
          <w:rFonts w:hint="default" w:ascii="宋体" w:hAnsi="宋体" w:cs="宋体"/>
          <w:sz w:val="24"/>
          <w:szCs w:val="24"/>
          <w:lang w:val="en-US" w:eastAsia="zh-CN"/>
        </w:rPr>
        <w:t>。使用数据涉及就业质量相关分析及对教育教学、人才培养的反馈等信息。</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3</w:t>
      </w:r>
      <w:r>
        <w:rPr>
          <w:rFonts w:hint="default" w:ascii="宋体" w:hAnsi="宋体" w:cs="宋体"/>
          <w:sz w:val="24"/>
          <w:szCs w:val="24"/>
          <w:lang w:val="en-US" w:eastAsia="zh-CN"/>
        </w:rPr>
        <w:t>.</w:t>
      </w:r>
      <w:r>
        <w:rPr>
          <w:rFonts w:hint="eastAsia" w:ascii="宋体" w:hAnsi="宋体" w:cs="宋体"/>
          <w:sz w:val="24"/>
          <w:szCs w:val="24"/>
          <w:lang w:val="en-US" w:eastAsia="zh-CN"/>
        </w:rPr>
        <w:t>学校委托第三方公司利用“安徽省企事业单位校招服务平台”开展了用人单位问卷调查工作。本次调查共回收有效问卷 92份。</w:t>
      </w:r>
    </w:p>
    <w:p>
      <w:pPr>
        <w:pStyle w:val="4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cs="宋体"/>
          <w:sz w:val="24"/>
          <w:szCs w:val="24"/>
          <w:lang w:val="en-US" w:eastAsia="zh-CN"/>
        </w:rPr>
      </w:pPr>
      <w:r>
        <w:rPr>
          <w:rFonts w:hint="default" w:ascii="宋体" w:hAnsi="宋体" w:cs="宋体"/>
          <w:sz w:val="24"/>
          <w:szCs w:val="24"/>
          <w:lang w:val="en-US" w:eastAsia="zh-CN"/>
        </w:rPr>
        <w:t>特此说明。</w:t>
      </w:r>
    </w:p>
    <w:p>
      <w:pPr>
        <w:pStyle w:val="2"/>
        <w:bidi w:val="0"/>
        <w:outlineLvl w:val="9"/>
        <w:rPr>
          <w:rFonts w:hint="eastAsia"/>
        </w:rPr>
      </w:pPr>
      <w:bookmarkStart w:id="9" w:name="_Toc3405"/>
      <w:bookmarkStart w:id="10" w:name="_Toc14577"/>
      <w:bookmarkStart w:id="11" w:name="_Toc2454"/>
      <w:bookmarkStart w:id="12" w:name="_Toc2617"/>
      <w:bookmarkStart w:id="13" w:name="_Toc22222"/>
    </w:p>
    <w:p>
      <w:pPr>
        <w:pStyle w:val="2"/>
        <w:bidi w:val="0"/>
        <w:outlineLvl w:val="9"/>
        <w:rPr>
          <w:rFonts w:hint="eastAsia"/>
        </w:rPr>
      </w:pPr>
    </w:p>
    <w:p>
      <w:pPr>
        <w:pStyle w:val="2"/>
        <w:bidi w:val="0"/>
        <w:outlineLvl w:val="9"/>
        <w:rPr>
          <w:rFonts w:hint="eastAsia"/>
        </w:rPr>
      </w:pPr>
    </w:p>
    <w:p>
      <w:pPr>
        <w:pStyle w:val="2"/>
        <w:bidi w:val="0"/>
        <w:outlineLvl w:val="9"/>
        <w:rPr>
          <w:rFonts w:hint="eastAsia"/>
        </w:rPr>
      </w:pPr>
    </w:p>
    <w:p>
      <w:pPr>
        <w:rPr>
          <w:rFonts w:hint="eastAsia"/>
        </w:rPr>
      </w:pPr>
    </w:p>
    <w:p>
      <w:pPr>
        <w:rPr>
          <w:rFonts w:hint="eastAsia"/>
        </w:rPr>
      </w:pPr>
    </w:p>
    <w:p>
      <w:pPr>
        <w:pStyle w:val="2"/>
        <w:bidi w:val="0"/>
        <w:rPr>
          <w:rFonts w:hint="eastAsia"/>
        </w:rPr>
      </w:pPr>
      <w:bookmarkStart w:id="14" w:name="_Toc25231"/>
      <w:r>
        <w:rPr>
          <w:rFonts w:hint="eastAsia"/>
        </w:rPr>
        <w:t xml:space="preserve">第一部分 </w:t>
      </w:r>
      <w:r>
        <w:rPr>
          <w:rFonts w:hint="eastAsia"/>
          <w:lang w:eastAsia="zh-CN"/>
        </w:rPr>
        <w:t>毕业生</w:t>
      </w:r>
      <w:r>
        <w:rPr>
          <w:rFonts w:hint="eastAsia"/>
        </w:rPr>
        <w:t>基本情况</w:t>
      </w:r>
      <w:bookmarkEnd w:id="3"/>
      <w:bookmarkEnd w:id="4"/>
      <w:bookmarkEnd w:id="5"/>
      <w:bookmarkEnd w:id="9"/>
      <w:bookmarkEnd w:id="10"/>
      <w:bookmarkEnd w:id="11"/>
      <w:bookmarkEnd w:id="12"/>
      <w:bookmarkEnd w:id="13"/>
      <w:bookmarkEnd w:id="14"/>
    </w:p>
    <w:p>
      <w:pPr>
        <w:pStyle w:val="3"/>
        <w:numPr>
          <w:ilvl w:val="0"/>
          <w:numId w:val="1"/>
        </w:numPr>
        <w:bidi w:val="0"/>
        <w:rPr>
          <w:rFonts w:hint="eastAsia"/>
        </w:rPr>
      </w:pPr>
      <w:bookmarkStart w:id="15" w:name="_Toc27931"/>
      <w:bookmarkStart w:id="16" w:name="_Toc24593"/>
      <w:bookmarkStart w:id="17" w:name="_Toc24795"/>
      <w:bookmarkStart w:id="18" w:name="_Toc16615"/>
      <w:bookmarkStart w:id="19" w:name="_Toc14680"/>
      <w:bookmarkStart w:id="20" w:name="_Toc12435"/>
      <w:bookmarkStart w:id="21" w:name="_Toc27645"/>
      <w:bookmarkStart w:id="22" w:name="_Toc20621"/>
      <w:bookmarkStart w:id="23" w:name="_Toc4120"/>
      <w:r>
        <w:rPr>
          <w:rFonts w:hint="eastAsia"/>
        </w:rPr>
        <w:t>毕业生</w:t>
      </w:r>
      <w:bookmarkEnd w:id="15"/>
      <w:r>
        <w:rPr>
          <w:rFonts w:hint="eastAsia"/>
        </w:rPr>
        <w:t>总体情况</w:t>
      </w:r>
      <w:bookmarkEnd w:id="16"/>
      <w:bookmarkEnd w:id="17"/>
      <w:bookmarkEnd w:id="18"/>
      <w:bookmarkEnd w:id="19"/>
      <w:bookmarkEnd w:id="20"/>
      <w:bookmarkEnd w:id="21"/>
      <w:bookmarkEnd w:id="22"/>
      <w:bookmarkEnd w:id="23"/>
    </w:p>
    <w:p>
      <w:pPr>
        <w:bidi w:val="0"/>
        <w:jc w:val="left"/>
        <w:rPr>
          <w:rFonts w:hint="eastAsia"/>
          <w:lang w:val="en-US" w:eastAsia="zh-CN"/>
        </w:rPr>
      </w:pPr>
      <w:r>
        <w:rPr>
          <w:rFonts w:hint="eastAsia"/>
          <w:lang w:val="en-US" w:eastAsia="zh-CN"/>
        </w:rPr>
        <w:t>截止 2022年8月31日</w:t>
      </w:r>
      <w:r>
        <w:rPr>
          <w:rStyle w:val="24"/>
          <w:rFonts w:hint="eastAsia" w:ascii="宋体" w:hAnsi="宋体" w:eastAsia="宋体" w:cs="宋体"/>
          <w:b/>
          <w:bCs/>
          <w:kern w:val="2"/>
          <w:sz w:val="21"/>
          <w:szCs w:val="22"/>
          <w:highlight w:val="none"/>
          <w:vertAlign w:val="superscript"/>
          <w:lang w:val="en-US" w:eastAsia="zh-CN" w:bidi="ar-SA"/>
        </w:rPr>
        <w:footnoteReference w:id="0"/>
      </w:r>
      <w:r>
        <w:rPr>
          <w:rFonts w:hint="eastAsia"/>
          <w:highlight w:val="none"/>
          <w:lang w:val="en-US" w:eastAsia="zh-CN"/>
        </w:rPr>
        <w:t>统计，我校 2022届毕业生共有</w:t>
      </w:r>
      <w:r>
        <w:rPr>
          <w:rFonts w:hint="eastAsia" w:ascii="宋体" w:hAnsi="宋体" w:cs="宋体"/>
          <w:sz w:val="24"/>
          <w:szCs w:val="24"/>
          <w:highlight w:val="none"/>
          <w:lang w:val="en-US" w:eastAsia="zh-CN"/>
        </w:rPr>
        <w:t>1404</w:t>
      </w:r>
      <w:r>
        <w:rPr>
          <w:rFonts w:hint="eastAsia"/>
          <w:highlight w:val="none"/>
          <w:lang w:val="en-US" w:eastAsia="zh-CN"/>
        </w:rPr>
        <w:t>人，其中男生</w:t>
      </w:r>
      <w:r>
        <w:rPr>
          <w:rFonts w:hint="eastAsia" w:ascii="宋体" w:hAnsi="宋体" w:cs="宋体"/>
          <w:sz w:val="24"/>
          <w:szCs w:val="24"/>
          <w:highlight w:val="none"/>
          <w:lang w:val="en-US" w:eastAsia="zh-CN"/>
        </w:rPr>
        <w:t>537</w:t>
      </w:r>
      <w:r>
        <w:rPr>
          <w:rFonts w:hint="eastAsia"/>
          <w:highlight w:val="none"/>
          <w:lang w:val="en-US" w:eastAsia="zh-CN"/>
        </w:rPr>
        <w:t>人，占毕业生总数的</w:t>
      </w:r>
      <w:r>
        <w:rPr>
          <w:rFonts w:hint="eastAsia" w:ascii="宋体" w:hAnsi="宋体" w:cs="宋体"/>
          <w:sz w:val="24"/>
          <w:szCs w:val="24"/>
          <w:highlight w:val="none"/>
          <w:lang w:val="en-US" w:eastAsia="zh-CN"/>
        </w:rPr>
        <w:t>38.25%</w:t>
      </w:r>
      <w:r>
        <w:rPr>
          <w:rFonts w:hint="eastAsia"/>
          <w:highlight w:val="none"/>
          <w:lang w:val="en-US" w:eastAsia="zh-CN"/>
        </w:rPr>
        <w:t>；</w:t>
      </w:r>
      <w:r>
        <w:rPr>
          <w:rFonts w:hint="eastAsia"/>
          <w:lang w:val="en-US" w:eastAsia="zh-CN"/>
        </w:rPr>
        <w:t>女生</w:t>
      </w:r>
      <w:r>
        <w:rPr>
          <w:rFonts w:hint="eastAsia" w:ascii="宋体" w:hAnsi="宋体" w:cs="宋体"/>
          <w:sz w:val="24"/>
          <w:szCs w:val="24"/>
          <w:lang w:val="en-US" w:eastAsia="zh-CN"/>
        </w:rPr>
        <w:t>867</w:t>
      </w:r>
      <w:r>
        <w:rPr>
          <w:rFonts w:hint="eastAsia"/>
          <w:lang w:val="en-US" w:eastAsia="zh-CN"/>
        </w:rPr>
        <w:t>人，占毕业生总数的</w:t>
      </w:r>
      <w:r>
        <w:rPr>
          <w:rFonts w:hint="eastAsia" w:ascii="宋体" w:hAnsi="宋体" w:cs="宋体"/>
          <w:sz w:val="24"/>
          <w:szCs w:val="24"/>
          <w:lang w:val="en-US" w:eastAsia="zh-CN"/>
        </w:rPr>
        <w:t>61.75%</w:t>
      </w:r>
      <w:r>
        <w:rPr>
          <w:rFonts w:hint="eastAsia"/>
          <w:highlight w:val="none"/>
          <w:lang w:val="en-US" w:eastAsia="zh-CN"/>
        </w:rPr>
        <w:t>；特殊</w:t>
      </w:r>
      <w:r>
        <w:rPr>
          <w:rFonts w:hint="eastAsia"/>
          <w:lang w:val="en-US" w:eastAsia="zh-CN"/>
        </w:rPr>
        <w:t>群体毕业生</w:t>
      </w:r>
      <w:r>
        <w:rPr>
          <w:rFonts w:hint="eastAsia" w:ascii="宋体" w:hAnsi="宋体" w:cs="宋体"/>
          <w:sz w:val="24"/>
          <w:szCs w:val="24"/>
          <w:lang w:val="en-US" w:eastAsia="zh-CN"/>
        </w:rPr>
        <w:t>106</w:t>
      </w:r>
      <w:r>
        <w:rPr>
          <w:rFonts w:hint="eastAsia"/>
          <w:lang w:val="en-US" w:eastAsia="zh-CN"/>
        </w:rPr>
        <w:t>人，占全体毕业生的</w:t>
      </w:r>
      <w:r>
        <w:rPr>
          <w:rFonts w:hint="eastAsia" w:ascii="宋体" w:hAnsi="宋体" w:cs="宋体"/>
          <w:sz w:val="24"/>
          <w:szCs w:val="24"/>
          <w:lang w:val="en-US" w:eastAsia="zh-CN"/>
        </w:rPr>
        <w:t>7.55%</w:t>
      </w:r>
      <w:r>
        <w:rPr>
          <w:rFonts w:hint="eastAsia"/>
          <w:lang w:val="en-US" w:eastAsia="zh-CN"/>
        </w:rPr>
        <w:t>。数据详见下表：</w:t>
      </w:r>
    </w:p>
    <w:p>
      <w:pPr>
        <w:pStyle w:val="4"/>
        <w:numPr>
          <w:ilvl w:val="0"/>
          <w:numId w:val="2"/>
        </w:numPr>
        <w:bidi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总体规模与结构</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cs="宋体"/>
          <w:kern w:val="2"/>
          <w:sz w:val="21"/>
          <w:szCs w:val="21"/>
          <w:lang w:val="en-US" w:eastAsia="zh-CN" w:bidi="ar-SA"/>
        </w:rPr>
        <w:t>表：</w:t>
      </w:r>
      <w:r>
        <w:rPr>
          <w:rFonts w:hint="eastAsia" w:ascii="宋体" w:hAnsi="宋体" w:cs="宋体"/>
          <w:sz w:val="21"/>
          <w:szCs w:val="21"/>
          <w:lang w:eastAsia="zh-CN"/>
        </w:rPr>
        <w:t>2022届</w:t>
      </w:r>
      <w:r>
        <w:rPr>
          <w:rFonts w:hint="eastAsia" w:ascii="宋体" w:hAnsi="宋体" w:eastAsia="宋体" w:cs="宋体"/>
          <w:sz w:val="21"/>
          <w:szCs w:val="21"/>
          <w:lang w:eastAsia="zh-CN"/>
        </w:rPr>
        <w:t>毕业生</w:t>
      </w:r>
      <w:r>
        <w:rPr>
          <w:rFonts w:hint="eastAsia" w:ascii="宋体" w:hAnsi="宋体" w:eastAsia="宋体" w:cs="宋体"/>
          <w:sz w:val="21"/>
          <w:szCs w:val="21"/>
          <w:lang w:val="en-US" w:eastAsia="zh-CN"/>
        </w:rPr>
        <w:t>总体规模与结构</w:t>
      </w:r>
      <w:r>
        <w:rPr>
          <w:rFonts w:hint="eastAsia" w:ascii="宋体" w:hAnsi="宋体" w:eastAsia="宋体" w:cs="宋体"/>
          <w:sz w:val="21"/>
          <w:szCs w:val="21"/>
        </w:rPr>
        <w:t>分布</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43"/>
        <w:gridCol w:w="3058"/>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77" w:type="pct"/>
            <w:gridSpan w:val="2"/>
            <w:shd w:val="clear" w:color="auto" w:fill="548DD4"/>
            <w:noWrap w:val="0"/>
            <w:tcMar>
              <w:top w:w="8" w:type="dxa"/>
              <w:left w:w="8" w:type="dxa"/>
              <w:right w:w="8" w:type="dxa"/>
            </w:tcMar>
            <w:vAlign w:val="center"/>
          </w:tcPr>
          <w:p>
            <w:pPr>
              <w:pStyle w:val="38"/>
              <w:bidi w:val="0"/>
              <w:rPr>
                <w:rFonts w:hint="default"/>
                <w:b/>
                <w:bCs/>
                <w:color w:val="FFFFFF"/>
                <w:sz w:val="21"/>
                <w:szCs w:val="21"/>
                <w:lang w:val="en-US" w:eastAsia="zh-CN"/>
              </w:rPr>
            </w:pPr>
            <w:r>
              <w:rPr>
                <w:rFonts w:hint="eastAsia"/>
                <w:b/>
                <w:bCs/>
                <w:color w:val="FFFFFF"/>
                <w:sz w:val="21"/>
                <w:szCs w:val="21"/>
                <w:lang w:val="en-US" w:eastAsia="zh-CN"/>
              </w:rPr>
              <w:t>类别</w:t>
            </w:r>
          </w:p>
        </w:tc>
        <w:tc>
          <w:tcPr>
            <w:tcW w:w="961" w:type="pct"/>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人数</w:t>
            </w:r>
          </w:p>
        </w:tc>
        <w:tc>
          <w:tcPr>
            <w:tcW w:w="961" w:type="pct"/>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性别</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男生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537</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女生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867</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61.75%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政治面貌</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中共党员</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20</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中共预备党员</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共青团员</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985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70.16%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群众</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364</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民族</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汉族</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1385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98.65%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回族</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18</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其他少数民族</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区域</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省内</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1375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97.93%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省外</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29</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302" w:type="pct"/>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特殊</w:t>
            </w:r>
            <w:r>
              <w:rPr>
                <w:rFonts w:hint="default"/>
                <w:lang w:val="en-US" w:eastAsia="zh-CN"/>
              </w:rPr>
              <w:t>群体</w:t>
            </w: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脱贫家庭</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69</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城乡低保</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36</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残疾生</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零就业家庭</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25</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vMerge w:val="continue"/>
          </w:tcPr>
          <w:p/>
        </w:tc>
        <w:tc>
          <w:tcPr>
            <w:tcW w:w="1775"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其他特殊群体</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3</w:t>
            </w:r>
          </w:p>
        </w:tc>
        <w:tc>
          <w:tcPr>
            <w:tcW w:w="961" w:type="pct"/>
            <w:shd w:val="clear" w:color="auto" w:fill="FFFFFF"/>
            <w:noWrap w:val="0"/>
            <w:tcMar>
              <w:top w:w="8" w:type="dxa"/>
              <w:left w:w="8" w:type="dxa"/>
              <w:right w:w="8" w:type="dxa"/>
            </w:tcMar>
            <w:vAlign w:val="center"/>
          </w:tcPr>
          <w:p>
            <w:pPr>
              <w:pStyle w:val="38"/>
              <w:bidi w:val="0"/>
              <w:rPr>
                <w:rFonts w:hint="eastAsia"/>
                <w:lang w:val="en-US" w:eastAsia="zh-CN"/>
              </w:rPr>
            </w:pPr>
            <w:r>
              <w:rPr>
                <w:rFonts w:hint="eastAsia"/>
                <w:lang w:val="en-US" w:eastAsia="zh-CN"/>
              </w:rPr>
              <w:t>0.21%</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p>
    <w:p>
      <w:pPr>
        <w:pStyle w:val="4"/>
        <w:numPr>
          <w:ilvl w:val="0"/>
          <w:numId w:val="2"/>
        </w:numPr>
        <w:bidi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毕业生专业分布</w:t>
      </w:r>
    </w:p>
    <w:p>
      <w:pPr>
        <w:pStyle w:val="6"/>
        <w:bidi w:val="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2022届毕业生共有</w:t>
      </w:r>
      <w:r>
        <w:rPr>
          <w:rFonts w:hint="eastAsia" w:ascii="宋体" w:hAnsi="宋体" w:cs="宋体"/>
          <w:kern w:val="2"/>
          <w:sz w:val="24"/>
          <w:szCs w:val="24"/>
          <w:highlight w:val="none"/>
          <w:lang w:val="en-US" w:eastAsia="zh-CN" w:bidi="ar-SA"/>
        </w:rPr>
        <w:t>7个</w:t>
      </w:r>
      <w:r>
        <w:rPr>
          <w:rFonts w:hint="eastAsia" w:ascii="宋体" w:hAnsi="宋体" w:eastAsia="宋体" w:cs="宋体"/>
          <w:kern w:val="2"/>
          <w:sz w:val="24"/>
          <w:szCs w:val="24"/>
          <w:highlight w:val="none"/>
          <w:lang w:val="en-US" w:eastAsia="zh-CN" w:bidi="ar-SA"/>
        </w:rPr>
        <w:t>院系（含0个合作教学点）分布在22个专业，其中本科生有0个专业、</w:t>
      </w:r>
      <w:r>
        <w:rPr>
          <w:rFonts w:hint="eastAsia" w:ascii="宋体" w:hAnsi="宋体" w:cs="宋体"/>
          <w:kern w:val="2"/>
          <w:sz w:val="24"/>
          <w:szCs w:val="24"/>
          <w:highlight w:val="none"/>
          <w:lang w:val="en-US" w:eastAsia="zh-CN" w:bidi="ar-SA"/>
        </w:rPr>
        <w:t>毕业生</w:t>
      </w:r>
      <w:r>
        <w:rPr>
          <w:rFonts w:hint="eastAsia" w:ascii="宋体" w:hAnsi="宋体" w:eastAsia="宋体" w:cs="宋体"/>
          <w:kern w:val="2"/>
          <w:sz w:val="24"/>
          <w:szCs w:val="24"/>
          <w:highlight w:val="none"/>
          <w:lang w:val="en-US" w:eastAsia="zh-CN" w:bidi="ar-SA"/>
        </w:rPr>
        <w:t>有22个专业、研究生有0个专业。具体情况详见图：</w:t>
      </w:r>
    </w:p>
    <w:p>
      <w:pPr>
        <w:pStyle w:val="6"/>
        <w:bidi w:val="0"/>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4220210"/>
            <wp:effectExtent l="0" t="0" r="1905" b="8890"/>
            <wp:docPr id="11" name="图表 11"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hint="eastAsia" w:ascii="宋体" w:hAnsi="宋体" w:eastAsia="宋体" w:cs="宋体"/>
          <w:kern w:val="2"/>
          <w:sz w:val="21"/>
          <w:szCs w:val="21"/>
          <w:lang w:val="en-US" w:eastAsia="zh-CN" w:bidi="ar-SA"/>
        </w:rPr>
        <w:t>图：2022届</w:t>
      </w:r>
      <w:r>
        <w:rPr>
          <w:rFonts w:hint="eastAsia" w:ascii="宋体" w:hAnsi="宋体" w:cs="宋体"/>
          <w:kern w:val="2"/>
          <w:sz w:val="21"/>
          <w:szCs w:val="21"/>
          <w:lang w:val="en-US" w:eastAsia="zh-CN" w:bidi="ar-SA"/>
        </w:rPr>
        <w:t>毕业生</w:t>
      </w:r>
      <w:r>
        <w:rPr>
          <w:rFonts w:hint="eastAsia" w:ascii="宋体" w:hAnsi="宋体" w:eastAsia="宋体" w:cs="宋体"/>
          <w:kern w:val="2"/>
          <w:sz w:val="21"/>
          <w:szCs w:val="21"/>
          <w:lang w:val="en-US" w:eastAsia="zh-CN" w:bidi="ar-SA"/>
        </w:rPr>
        <w:t>分学院和性别分布</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表：2022届毕业生分学院</w:t>
      </w:r>
      <w:r>
        <w:rPr>
          <w:rFonts w:hint="eastAsia" w:ascii="宋体" w:hAnsi="宋体" w:eastAsia="宋体" w:cs="宋体"/>
          <w:kern w:val="2"/>
          <w:sz w:val="21"/>
          <w:szCs w:val="21"/>
          <w:lang w:val="en-US" w:eastAsia="zh-CN" w:bidi="ar-SA"/>
        </w:rPr>
        <w:t>分专业分布</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0"/>
        <w:gridCol w:w="2685"/>
        <w:gridCol w:w="1610"/>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2730" w:type="dxa"/>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学院名称</w:t>
            </w:r>
          </w:p>
        </w:tc>
        <w:tc>
          <w:tcPr>
            <w:tcW w:w="2685" w:type="dxa"/>
            <w:shd w:val="clear" w:color="auto" w:fill="548DD4"/>
            <w:noWrap w:val="0"/>
            <w:tcMar>
              <w:top w:w="8" w:type="dxa"/>
              <w:left w:w="8" w:type="dxa"/>
              <w:right w:w="8" w:type="dxa"/>
            </w:tcMar>
            <w:vAlign w:val="center"/>
          </w:tcPr>
          <w:p>
            <w:pPr>
              <w:pStyle w:val="38"/>
              <w:bidi w:val="0"/>
              <w:rPr>
                <w:rFonts w:hint="eastAsia"/>
                <w:b/>
                <w:bCs/>
                <w:color w:val="FFFFFF"/>
                <w:sz w:val="21"/>
                <w:szCs w:val="21"/>
                <w:lang w:val="en-US" w:eastAsia="zh-CN"/>
              </w:rPr>
            </w:pPr>
            <w:r>
              <w:rPr>
                <w:rFonts w:hint="eastAsia"/>
                <w:b/>
                <w:bCs/>
                <w:color w:val="FFFFFF"/>
                <w:sz w:val="21"/>
                <w:szCs w:val="21"/>
                <w:lang w:val="en-US" w:eastAsia="zh-CN"/>
              </w:rPr>
              <w:t>专业名称</w:t>
            </w:r>
          </w:p>
        </w:tc>
        <w:tc>
          <w:tcPr>
            <w:tcW w:w="1610" w:type="dxa"/>
            <w:shd w:val="clear" w:color="auto" w:fill="548DD4"/>
            <w:noWrap w:val="0"/>
            <w:tcMar>
              <w:top w:w="8" w:type="dxa"/>
              <w:left w:w="8" w:type="dxa"/>
              <w:right w:w="8" w:type="dxa"/>
            </w:tcMar>
            <w:vAlign w:val="center"/>
          </w:tcPr>
          <w:p>
            <w:pPr>
              <w:pStyle w:val="38"/>
              <w:bidi w:val="0"/>
              <w:ind w:firstLine="0" w:firstLineChars="0"/>
              <w:rPr>
                <w:rFonts w:hint="eastAsia" w:ascii="宋体" w:hAnsi="宋体" w:eastAsia="宋体" w:cs="宋体"/>
                <w:b/>
                <w:bCs/>
                <w:color w:val="FFFFFF"/>
                <w:kern w:val="2"/>
                <w:sz w:val="21"/>
                <w:szCs w:val="21"/>
                <w:lang w:val="en-US" w:eastAsia="zh-CN" w:bidi="ar-SA"/>
              </w:rPr>
            </w:pPr>
            <w:r>
              <w:rPr>
                <w:rFonts w:hint="eastAsia"/>
                <w:b/>
                <w:bCs/>
                <w:color w:val="FFFFFF"/>
              </w:rPr>
              <w:t>人数</w:t>
            </w:r>
          </w:p>
        </w:tc>
        <w:tc>
          <w:tcPr>
            <w:tcW w:w="1611" w:type="dxa"/>
            <w:shd w:val="clear" w:color="auto" w:fill="548DD4"/>
            <w:noWrap w:val="0"/>
            <w:tcMar>
              <w:top w:w="8" w:type="dxa"/>
              <w:left w:w="8" w:type="dxa"/>
              <w:right w:w="8" w:type="dxa"/>
            </w:tcMar>
            <w:vAlign w:val="center"/>
          </w:tcPr>
          <w:p>
            <w:pPr>
              <w:pStyle w:val="38"/>
              <w:bidi w:val="0"/>
              <w:ind w:firstLine="0" w:firstLineChars="0"/>
              <w:rPr>
                <w:rFonts w:hint="eastAsia" w:ascii="宋体" w:hAnsi="宋体" w:eastAsia="宋体" w:cs="宋体"/>
                <w:b/>
                <w:bCs/>
                <w:color w:val="FFFFFF"/>
                <w:kern w:val="2"/>
                <w:sz w:val="21"/>
                <w:szCs w:val="21"/>
                <w:lang w:val="en-US" w:eastAsia="zh-CN" w:bidi="ar-SA"/>
              </w:rPr>
            </w:pPr>
            <w:r>
              <w:rPr>
                <w:rFonts w:hint="eastAsia"/>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19社招班</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表演艺术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播音与主持</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国际标准舞</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美术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舞蹈表演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戏剧影视表演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音乐表演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美术学院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雕刻艺术设计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动漫设计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服装与服饰设计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环境艺术设计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107</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美术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数字媒体艺术设计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艺术设计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135</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艺术设计(公共)</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艺术设计(平面)</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舞蹈学院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国际标准舞</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146</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舞蹈表演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戏剧学院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人物形象设计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戏剧影视表演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影视编导</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戏曲学院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戏曲表演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音乐表演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新闻传媒学院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播音与主持</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音乐学院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音乐表演</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196</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30" w:type="dxa"/>
            <w:vMerge w:val="restart"/>
            <w:shd w:val="clear" w:color="auto" w:fill="FFFFFF"/>
            <w:noWrap w:val="0"/>
            <w:tcMar>
              <w:top w:w="8" w:type="dxa"/>
              <w:left w:w="8" w:type="dxa"/>
              <w:right w:w="8" w:type="dxa"/>
            </w:tcMar>
            <w:vAlign w:val="center"/>
          </w:tcPr>
          <w:p>
            <w:pPr>
              <w:pStyle w:val="38"/>
              <w:bidi w:val="0"/>
              <w:rPr>
                <w:rFonts w:hint="eastAsia"/>
                <w:lang w:val="en-US" w:eastAsia="zh-CN"/>
              </w:rPr>
            </w:pPr>
            <w:r>
              <w:rPr>
                <w:rFonts w:hint="default"/>
                <w:lang w:val="en-US" w:eastAsia="zh-CN"/>
              </w:rPr>
              <w:t>综合艺术学院</w:t>
            </w: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表演艺术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103</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表演艺术类</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高速铁路客运乘务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空中乘务</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54</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vMerge w:val="continue"/>
          </w:tcPr>
          <w:p/>
        </w:tc>
        <w:tc>
          <w:tcPr>
            <w:tcW w:w="2685"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摄影摄像技术</w:t>
            </w:r>
          </w:p>
        </w:tc>
        <w:tc>
          <w:tcPr>
            <w:tcW w:w="1610"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w:t>
            </w:r>
          </w:p>
        </w:tc>
        <w:tc>
          <w:tcPr>
            <w:tcW w:w="1611" w:type="dxa"/>
            <w:shd w:val="clear" w:color="auto" w:fill="FFFFFF"/>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1.28%</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
        <w:numPr>
          <w:ilvl w:val="0"/>
          <w:numId w:val="1"/>
        </w:numPr>
        <w:bidi w:val="0"/>
        <w:rPr>
          <w:rFonts w:hint="eastAsia"/>
        </w:rPr>
      </w:pPr>
      <w:bookmarkStart w:id="24" w:name="_Toc20274"/>
      <w:bookmarkStart w:id="25" w:name="_Toc460"/>
      <w:bookmarkStart w:id="26" w:name="_Toc15088"/>
      <w:bookmarkStart w:id="27" w:name="_Toc24659"/>
      <w:bookmarkStart w:id="28" w:name="_Toc24319"/>
      <w:bookmarkStart w:id="29" w:name="_Toc14630"/>
      <w:bookmarkStart w:id="30" w:name="_Toc25571"/>
      <w:bookmarkStart w:id="31" w:name="_Toc10384"/>
      <w:r>
        <w:rPr>
          <w:rFonts w:hint="eastAsia"/>
        </w:rPr>
        <w:t>毕业生生源情况</w:t>
      </w:r>
      <w:bookmarkEnd w:id="24"/>
      <w:bookmarkEnd w:id="25"/>
      <w:bookmarkEnd w:id="26"/>
      <w:bookmarkEnd w:id="27"/>
      <w:bookmarkEnd w:id="28"/>
      <w:bookmarkEnd w:id="29"/>
      <w:bookmarkEnd w:id="30"/>
      <w:bookmarkEnd w:id="31"/>
    </w:p>
    <w:p>
      <w:pPr>
        <w:pStyle w:val="46"/>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安徽艺术职业学院2022届毕业生来自全国12个省市自治区42个城市，生源主要来自本省安徽，有1375人占全部毕业生的97.93%，其中来自合肥市的生源242人占安徽省生源比例的17.60%，详见表：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表：2022届</w:t>
      </w:r>
      <w:r>
        <w:rPr>
          <w:rFonts w:hint="eastAsia" w:ascii="宋体" w:hAnsi="宋体" w:eastAsia="宋体" w:cs="宋体"/>
          <w:kern w:val="2"/>
          <w:sz w:val="21"/>
          <w:szCs w:val="21"/>
          <w:lang w:val="en-US" w:eastAsia="zh-CN" w:bidi="ar-SA"/>
        </w:rPr>
        <w:t>毕业生</w:t>
      </w:r>
      <w:r>
        <w:rPr>
          <w:rFonts w:hint="eastAsia" w:ascii="宋体" w:hAnsi="宋体" w:cs="宋体"/>
          <w:kern w:val="2"/>
          <w:sz w:val="21"/>
          <w:szCs w:val="21"/>
          <w:lang w:val="en-US" w:eastAsia="zh-CN" w:bidi="ar-SA"/>
        </w:rPr>
        <w:t>全国生源分布</w:t>
      </w:r>
    </w:p>
    <w:tbl>
      <w:tblPr>
        <w:tblStyle w:val="17"/>
        <w:tblW w:w="86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15" w:type="dxa"/>
          <w:left w:w="15" w:type="dxa"/>
          <w:bottom w:w="15" w:type="dxa"/>
          <w:right w:w="15" w:type="dxa"/>
        </w:tblCellMar>
      </w:tblPr>
      <w:tblGrid>
        <w:gridCol w:w="5407"/>
        <w:gridCol w:w="1621"/>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567" w:hRule="atLeast"/>
          <w:tblHeader/>
          <w:jc w:val="center"/>
        </w:trPr>
        <w:tc>
          <w:tcPr>
            <w:tcW w:w="5407" w:type="dxa"/>
            <w:shd w:val="clear" w:color="auto" w:fill="548DD4"/>
            <w:noWrap w:val="0"/>
            <w:vAlign w:val="center"/>
          </w:tcPr>
          <w:p>
            <w:pPr>
              <w:pStyle w:val="38"/>
              <w:bidi w:val="0"/>
              <w:rPr>
                <w:b/>
                <w:bCs/>
                <w:color w:val="FFFFFF"/>
              </w:rPr>
            </w:pPr>
            <w:r>
              <w:rPr>
                <w:rFonts w:hint="eastAsia"/>
                <w:b/>
                <w:bCs/>
                <w:color w:val="FFFFFF"/>
              </w:rPr>
              <w:t>省份名称</w:t>
            </w:r>
          </w:p>
        </w:tc>
        <w:tc>
          <w:tcPr>
            <w:tcW w:w="1621" w:type="dxa"/>
            <w:shd w:val="clear" w:color="auto" w:fill="548DD4"/>
            <w:noWrap w:val="0"/>
            <w:vAlign w:val="center"/>
          </w:tcPr>
          <w:p>
            <w:pPr>
              <w:pStyle w:val="38"/>
              <w:bidi w:val="0"/>
              <w:rPr>
                <w:b/>
                <w:bCs/>
                <w:color w:val="FFFFFF"/>
              </w:rPr>
            </w:pPr>
            <w:r>
              <w:rPr>
                <w:rFonts w:hint="eastAsia"/>
                <w:b/>
                <w:bCs/>
                <w:color w:val="FFFFFF"/>
              </w:rPr>
              <w:t>人数</w:t>
            </w:r>
          </w:p>
        </w:tc>
        <w:tc>
          <w:tcPr>
            <w:tcW w:w="1622" w:type="dxa"/>
            <w:shd w:val="clear" w:color="auto" w:fill="548DD4"/>
            <w:noWrap w:val="0"/>
            <w:vAlign w:val="center"/>
          </w:tcPr>
          <w:p>
            <w:pPr>
              <w:pStyle w:val="38"/>
              <w:bidi w:val="0"/>
              <w:rPr>
                <w:b/>
                <w:bCs/>
                <w:color w:val="FFFFFF"/>
              </w:rPr>
            </w:pPr>
            <w:r>
              <w:rPr>
                <w:rFonts w:hint="eastAsia"/>
                <w:b/>
                <w:bCs/>
                <w:color w:val="FFFFFF"/>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安徽省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1375</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97.93%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河南省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8</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湖北省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6</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江苏省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4</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福建省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3</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浙江省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2</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黑龙江省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上海市</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江西省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四川省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云南省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15" w:type="dxa"/>
            <w:left w:w="15" w:type="dxa"/>
            <w:bottom w:w="15" w:type="dxa"/>
            <w:right w:w="15" w:type="dxa"/>
          </w:tblCellMar>
        </w:tblPrEx>
        <w:trPr>
          <w:trHeight w:val="454" w:hRule="atLeast"/>
          <w:tblHeader/>
          <w:jc w:val="center"/>
        </w:trPr>
        <w:tc>
          <w:tcPr>
            <w:tcW w:w="5407" w:type="dxa"/>
            <w:shd w:val="clear" w:color="auto" w:fill="FFFFFF"/>
            <w:noWrap w:val="0"/>
            <w:vAlign w:val="center"/>
          </w:tcPr>
          <w:p>
            <w:pPr>
              <w:pStyle w:val="38"/>
              <w:bidi w:val="0"/>
              <w:rPr>
                <w:rFonts w:hint="eastAsia"/>
              </w:rPr>
            </w:pPr>
            <w:r>
              <w:rPr>
                <w:rFonts w:hint="default"/>
                <w:lang w:val="en-US" w:eastAsia="zh-CN"/>
              </w:rPr>
              <w:t>陕西省</w:t>
            </w:r>
          </w:p>
        </w:tc>
        <w:tc>
          <w:tcPr>
            <w:tcW w:w="1621" w:type="dxa"/>
            <w:shd w:val="clear" w:color="auto" w:fill="FFFFFF"/>
            <w:noWrap w:val="0"/>
            <w:vAlign w:val="center"/>
          </w:tcPr>
          <w:p>
            <w:pPr>
              <w:pStyle w:val="38"/>
              <w:bidi w:val="0"/>
              <w:ind w:firstLine="0" w:firstLineChars="0"/>
              <w:rPr>
                <w:rFonts w:hint="eastAsia"/>
              </w:rPr>
            </w:pPr>
            <w:r>
              <w:rPr>
                <w:rFonts w:hint="eastAsia"/>
                <w:lang w:val="en-US" w:eastAsia="zh-CN"/>
              </w:rPr>
              <w:t>1</w:t>
            </w:r>
          </w:p>
        </w:tc>
        <w:tc>
          <w:tcPr>
            <w:tcW w:w="1622" w:type="dxa"/>
            <w:shd w:val="clear" w:color="auto" w:fill="FFFFFF"/>
            <w:noWrap w:val="0"/>
            <w:vAlign w:val="center"/>
          </w:tcPr>
          <w:p>
            <w:pPr>
              <w:pStyle w:val="38"/>
              <w:bidi w:val="0"/>
              <w:ind w:firstLine="0" w:firstLineChars="0"/>
              <w:rPr>
                <w:rFonts w:hint="eastAsia"/>
              </w:rPr>
            </w:pPr>
            <w:r>
              <w:rPr>
                <w:rFonts w:hint="eastAsia"/>
                <w:lang w:val="en-US" w:eastAsia="zh-CN"/>
              </w:rPr>
              <w:t>0.07%</w:t>
            </w:r>
          </w:p>
        </w:tc>
      </w:tr>
    </w:tbl>
    <w:p>
      <w:pPr>
        <w:pStyle w:val="46"/>
        <w:spacing w:line="360" w:lineRule="auto"/>
        <w:ind w:firstLine="0" w:firstLineChars="0"/>
        <w:jc w:val="center"/>
        <w:rPr>
          <w:rFonts w:hint="eastAsia" w:ascii="宋体" w:hAnsi="宋体" w:eastAsia="宋体" w:cs="宋体"/>
          <w:b/>
          <w:bCs/>
          <w:sz w:val="32"/>
          <w:szCs w:val="32"/>
          <w:lang w:eastAsia="zh-CN"/>
        </w:rPr>
      </w:pPr>
      <w:bookmarkStart w:id="32" w:name="_Toc30796"/>
      <w:bookmarkStart w:id="33" w:name="_Toc6192"/>
      <w:bookmarkStart w:id="34" w:name="_Toc14574"/>
      <w:bookmarkStart w:id="35" w:name="_Toc26448"/>
      <w:bookmarkStart w:id="36" w:name="_Toc7674"/>
    </w:p>
    <w:p>
      <w:pPr>
        <w:pStyle w:val="46"/>
        <w:spacing w:line="360" w:lineRule="auto"/>
        <w:ind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507355" cy="3081655"/>
            <wp:effectExtent l="0" t="0" r="7620" b="4445"/>
            <wp:docPr id="12" name="图表 12"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46"/>
        <w:spacing w:line="360" w:lineRule="auto"/>
        <w:ind w:firstLine="0" w:firstLineChars="0"/>
        <w:jc w:val="center"/>
        <w:rPr>
          <w:rFonts w:hint="eastAsia" w:ascii="宋体" w:hAnsi="宋体" w:cs="宋体"/>
          <w:b/>
          <w:bCs/>
          <w:sz w:val="32"/>
          <w:szCs w:val="32"/>
        </w:rPr>
      </w:pPr>
      <w:r>
        <w:rPr>
          <w:rFonts w:hint="eastAsia" w:ascii="宋体" w:hAnsi="宋体" w:cs="宋体"/>
          <w:kern w:val="2"/>
          <w:sz w:val="21"/>
          <w:szCs w:val="21"/>
          <w:lang w:val="en-US" w:eastAsia="zh-CN" w:bidi="ar-SA"/>
        </w:rPr>
        <w:t>图：2022届</w:t>
      </w:r>
      <w:r>
        <w:rPr>
          <w:rFonts w:hint="eastAsia" w:ascii="宋体" w:hAnsi="宋体" w:eastAsia="宋体" w:cs="宋体"/>
          <w:kern w:val="2"/>
          <w:sz w:val="21"/>
          <w:szCs w:val="21"/>
          <w:lang w:val="en-US" w:eastAsia="zh-CN" w:bidi="ar-SA"/>
        </w:rPr>
        <w:t>毕业生安徽省生源地</w:t>
      </w:r>
      <w:r>
        <w:rPr>
          <w:rFonts w:hint="eastAsia" w:ascii="宋体" w:hAnsi="宋体" w:cs="宋体"/>
          <w:kern w:val="2"/>
          <w:sz w:val="21"/>
          <w:szCs w:val="21"/>
          <w:lang w:val="en-US" w:eastAsia="zh-CN" w:bidi="ar-SA"/>
        </w:rPr>
        <w:t>城市</w:t>
      </w:r>
      <w:r>
        <w:rPr>
          <w:rFonts w:hint="eastAsia" w:ascii="宋体" w:hAnsi="宋体" w:eastAsia="宋体" w:cs="宋体"/>
          <w:kern w:val="2"/>
          <w:sz w:val="21"/>
          <w:szCs w:val="21"/>
          <w:lang w:val="en-US" w:eastAsia="zh-CN" w:bidi="ar-SA"/>
        </w:rPr>
        <w:t>分布</w:t>
      </w:r>
    </w:p>
    <w:p>
      <w:pPr>
        <w:pStyle w:val="2"/>
        <w:bidi w:val="0"/>
        <w:rPr>
          <w:rFonts w:hint="eastAsia"/>
        </w:rPr>
      </w:pPr>
      <w:bookmarkStart w:id="37" w:name="_Toc14260"/>
      <w:bookmarkStart w:id="38" w:name="_Toc28548"/>
      <w:bookmarkStart w:id="39" w:name="_Toc31202"/>
      <w:r>
        <w:rPr>
          <w:rFonts w:hint="eastAsia"/>
        </w:rPr>
        <w:t>第二部分 毕业生</w:t>
      </w:r>
      <w:r>
        <w:rPr>
          <w:rFonts w:hint="eastAsia"/>
          <w:lang w:val="en-US" w:eastAsia="zh-CN"/>
        </w:rPr>
        <w:t>去向落实</w:t>
      </w:r>
      <w:r>
        <w:rPr>
          <w:rFonts w:hint="eastAsia"/>
        </w:rPr>
        <w:t>情况</w:t>
      </w:r>
      <w:bookmarkEnd w:id="32"/>
      <w:bookmarkEnd w:id="33"/>
      <w:bookmarkEnd w:id="34"/>
      <w:bookmarkEnd w:id="35"/>
      <w:bookmarkEnd w:id="36"/>
      <w:bookmarkEnd w:id="37"/>
      <w:bookmarkEnd w:id="38"/>
      <w:bookmarkEnd w:id="39"/>
    </w:p>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rPr>
      </w:pPr>
      <w:bookmarkStart w:id="40" w:name="_Toc5687"/>
      <w:bookmarkStart w:id="41" w:name="_Toc236"/>
      <w:bookmarkStart w:id="42" w:name="_Toc3213"/>
      <w:bookmarkStart w:id="43" w:name="_Toc9695"/>
      <w:bookmarkStart w:id="44" w:name="_Toc17704"/>
      <w:bookmarkStart w:id="45" w:name="_Toc21219"/>
      <w:bookmarkStart w:id="46" w:name="_Toc9823"/>
      <w:bookmarkStart w:id="47" w:name="_Toc14729"/>
      <w:bookmarkStart w:id="48" w:name="_Toc8145"/>
      <w:r>
        <w:rPr>
          <w:rFonts w:hint="eastAsia" w:ascii="宋体" w:hAnsi="宋体" w:cs="宋体"/>
          <w:b/>
          <w:bCs/>
          <w:sz w:val="28"/>
          <w:szCs w:val="28"/>
        </w:rPr>
        <w:t>毕业生</w:t>
      </w:r>
      <w:bookmarkEnd w:id="40"/>
      <w:bookmarkEnd w:id="41"/>
      <w:bookmarkEnd w:id="42"/>
      <w:bookmarkEnd w:id="43"/>
      <w:bookmarkEnd w:id="44"/>
      <w:r>
        <w:rPr>
          <w:rFonts w:hint="eastAsia" w:ascii="宋体" w:hAnsi="宋体" w:cs="宋体"/>
          <w:b/>
          <w:bCs/>
          <w:sz w:val="28"/>
          <w:szCs w:val="28"/>
          <w:lang w:val="en-US" w:eastAsia="zh-CN"/>
        </w:rPr>
        <w:t>初次</w:t>
      </w:r>
      <w:r>
        <w:rPr>
          <w:rFonts w:hint="eastAsia" w:ascii="宋体" w:hAnsi="宋体" w:cs="宋体"/>
          <w:b/>
          <w:bCs/>
          <w:sz w:val="28"/>
          <w:szCs w:val="28"/>
          <w:lang w:eastAsia="zh-CN"/>
        </w:rPr>
        <w:t>毕业去向落实率</w:t>
      </w:r>
      <w:r>
        <w:rPr>
          <w:rStyle w:val="24"/>
          <w:rFonts w:hint="eastAsia" w:ascii="宋体" w:hAnsi="宋体" w:cs="宋体"/>
          <w:b/>
          <w:bCs/>
          <w:sz w:val="28"/>
          <w:szCs w:val="28"/>
        </w:rPr>
        <w:footnoteReference w:id="1"/>
      </w:r>
      <w:bookmarkEnd w:id="45"/>
      <w:bookmarkEnd w:id="46"/>
      <w:bookmarkEnd w:id="47"/>
      <w:bookmarkEnd w:id="48"/>
    </w:p>
    <w:p>
      <w:pPr>
        <w:bidi w:val="0"/>
        <w:rPr>
          <w:rFonts w:hint="eastAsia"/>
          <w:lang w:val="en-US" w:eastAsia="zh-CN"/>
        </w:rPr>
      </w:pPr>
      <w:r>
        <w:rPr>
          <w:rFonts w:hint="eastAsia"/>
          <w:lang w:val="en-US" w:eastAsia="zh-CN"/>
        </w:rPr>
        <w:t>截止到 2022年08月31日，2022届毕业生总数为</w:t>
      </w:r>
      <w:r>
        <w:rPr>
          <w:rFonts w:hint="eastAsia" w:ascii="宋体" w:hAnsi="宋体" w:cs="宋体"/>
          <w:sz w:val="24"/>
          <w:szCs w:val="24"/>
          <w:lang w:val="en-US" w:eastAsia="zh-CN"/>
        </w:rPr>
        <w:t>1404</w:t>
      </w:r>
      <w:r>
        <w:rPr>
          <w:rFonts w:hint="eastAsia"/>
          <w:lang w:val="en-US" w:eastAsia="zh-CN"/>
        </w:rPr>
        <w:t>人，毕业去向</w:t>
      </w:r>
      <w:r>
        <w:rPr>
          <w:rFonts w:hint="eastAsia" w:ascii="宋体" w:hAnsi="宋体" w:cs="宋体"/>
          <w:sz w:val="24"/>
          <w:szCs w:val="24"/>
          <w:lang w:val="en-US" w:eastAsia="zh-CN"/>
        </w:rPr>
        <w:t>落实</w:t>
      </w:r>
      <w:r>
        <w:rPr>
          <w:rFonts w:hint="eastAsia"/>
          <w:lang w:val="en-US" w:eastAsia="zh-CN"/>
        </w:rPr>
        <w:t>人数</w:t>
      </w:r>
      <w:r>
        <w:rPr>
          <w:rStyle w:val="24"/>
          <w:rFonts w:hint="eastAsia" w:ascii="宋体" w:hAnsi="宋体" w:eastAsia="宋体" w:cs="宋体"/>
          <w:b/>
          <w:bCs/>
          <w:kern w:val="2"/>
          <w:sz w:val="28"/>
          <w:szCs w:val="28"/>
          <w:lang w:val="en-US" w:eastAsia="zh-CN" w:bidi="ar-SA"/>
        </w:rPr>
        <w:footnoteReference w:id="2"/>
      </w:r>
      <w:r>
        <w:rPr>
          <w:rFonts w:hint="eastAsia"/>
          <w:lang w:val="en-US" w:eastAsia="zh-CN"/>
        </w:rPr>
        <w:t>是</w:t>
      </w:r>
      <w:r>
        <w:rPr>
          <w:rFonts w:hint="eastAsia" w:ascii="宋体" w:hAnsi="宋体" w:cs="宋体"/>
          <w:sz w:val="24"/>
          <w:szCs w:val="24"/>
          <w:lang w:val="en-US" w:eastAsia="zh-CN"/>
        </w:rPr>
        <w:t>1273</w:t>
      </w:r>
      <w:r>
        <w:rPr>
          <w:rFonts w:hint="eastAsia"/>
          <w:lang w:val="en-US" w:eastAsia="zh-CN"/>
        </w:rPr>
        <w:t>人，初次毕业去向落实率</w:t>
      </w:r>
      <w:r>
        <w:rPr>
          <w:rFonts w:hint="eastAsia" w:ascii="宋体" w:hAnsi="宋体" w:cs="宋体"/>
          <w:sz w:val="24"/>
          <w:szCs w:val="24"/>
          <w:lang w:val="en-US" w:eastAsia="zh-CN"/>
        </w:rPr>
        <w:t>90.67%</w:t>
      </w:r>
      <w:r>
        <w:rPr>
          <w:rFonts w:hint="eastAsia"/>
          <w:lang w:val="en-US" w:eastAsia="zh-CN"/>
        </w:rPr>
        <w:t>；其中男生初次毕业去向落实率为</w:t>
      </w:r>
      <w:r>
        <w:rPr>
          <w:rFonts w:hint="eastAsia" w:ascii="宋体" w:hAnsi="宋体" w:cs="宋体"/>
          <w:sz w:val="24"/>
          <w:szCs w:val="24"/>
          <w:lang w:val="en-US" w:eastAsia="zh-CN"/>
        </w:rPr>
        <w:t>89.94%</w:t>
      </w:r>
      <w:r>
        <w:rPr>
          <w:rFonts w:hint="eastAsia"/>
          <w:lang w:val="en-US" w:eastAsia="zh-CN"/>
        </w:rPr>
        <w:t>，女生初次毕业去向落实率</w:t>
      </w:r>
      <w:r>
        <w:rPr>
          <w:rFonts w:hint="eastAsia" w:ascii="宋体" w:hAnsi="宋体" w:cs="宋体"/>
          <w:sz w:val="24"/>
          <w:szCs w:val="24"/>
          <w:lang w:val="en-US" w:eastAsia="zh-CN"/>
        </w:rPr>
        <w:t>91.12%</w:t>
      </w:r>
      <w:r>
        <w:rPr>
          <w:rFonts w:hint="eastAsia"/>
          <w:lang w:val="en-US" w:eastAsia="zh-CN"/>
        </w:rPr>
        <w:t>；</w:t>
      </w:r>
    </w:p>
    <w:p>
      <w:pPr>
        <w:pStyle w:val="4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cs="宋体"/>
          <w:sz w:val="24"/>
          <w:szCs w:val="24"/>
          <w:lang w:val="en-US" w:eastAsia="zh-CN"/>
        </w:rPr>
      </w:pPr>
      <w:bookmarkStart w:id="49" w:name="_Toc19946"/>
      <w:bookmarkStart w:id="50" w:name="_Toc16601"/>
      <w:bookmarkStart w:id="51" w:name="_Toc341"/>
      <w:r>
        <w:rPr>
          <w:rFonts w:hint="eastAsia" w:ascii="宋体" w:hAnsi="宋体" w:eastAsia="宋体" w:cs="宋体"/>
          <w:b/>
          <w:bCs/>
          <w:sz w:val="32"/>
          <w:szCs w:val="32"/>
          <w:lang w:eastAsia="zh-CN"/>
        </w:rPr>
        <w:drawing>
          <wp:inline distT="0" distB="0" distL="114300" distR="114300">
            <wp:extent cx="5478780" cy="2616200"/>
            <wp:effectExtent l="0" t="0" r="7620" b="3175"/>
            <wp:docPr id="13" name="图表 13"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46"/>
        <w:spacing w:line="360" w:lineRule="auto"/>
        <w:ind w:firstLine="0" w:firstLineChars="0"/>
        <w:jc w:val="center"/>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图：2022届</w:t>
      </w:r>
      <w:r>
        <w:rPr>
          <w:rFonts w:hint="eastAsia" w:ascii="宋体" w:hAnsi="宋体" w:eastAsia="宋体" w:cs="宋体"/>
          <w:kern w:val="2"/>
          <w:sz w:val="21"/>
          <w:szCs w:val="21"/>
          <w:lang w:val="en-US" w:eastAsia="zh-CN" w:bidi="ar-SA"/>
        </w:rPr>
        <w:t>毕</w:t>
      </w:r>
      <w:r>
        <w:rPr>
          <w:rFonts w:hint="eastAsia" w:ascii="宋体" w:hAnsi="宋体" w:cs="宋体"/>
          <w:kern w:val="2"/>
          <w:sz w:val="21"/>
          <w:szCs w:val="21"/>
          <w:lang w:val="en-US" w:eastAsia="zh-CN" w:bidi="ar-SA"/>
        </w:rPr>
        <w:t>业生初次毕业去向落实率</w:t>
      </w:r>
    </w:p>
    <w:bookmarkEnd w:id="49"/>
    <w:bookmarkEnd w:id="50"/>
    <w:bookmarkEnd w:id="51"/>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rPr>
      </w:pPr>
      <w:bookmarkStart w:id="52" w:name="_Toc24406"/>
      <w:bookmarkStart w:id="53" w:name="_Toc14531"/>
      <w:bookmarkStart w:id="54" w:name="_Toc16291"/>
      <w:bookmarkStart w:id="55" w:name="_Toc6521"/>
      <w:bookmarkStart w:id="56" w:name="_Toc15260"/>
      <w:bookmarkStart w:id="57" w:name="_Toc23569"/>
      <w:bookmarkStart w:id="58" w:name="_Toc326"/>
      <w:bookmarkStart w:id="59" w:name="_Toc25448"/>
      <w:r>
        <w:rPr>
          <w:rFonts w:hint="eastAsia" w:ascii="宋体" w:hAnsi="宋体" w:cs="宋体"/>
          <w:b/>
          <w:bCs/>
          <w:sz w:val="28"/>
          <w:szCs w:val="28"/>
          <w:lang w:val="en-US" w:eastAsia="zh-CN"/>
        </w:rPr>
        <w:t>初次就业七率统计</w:t>
      </w:r>
      <w:bookmarkEnd w:id="52"/>
      <w:r>
        <w:rPr>
          <w:rStyle w:val="24"/>
          <w:rFonts w:hint="eastAsia" w:ascii="宋体" w:hAnsi="宋体" w:cs="宋体"/>
          <w:b/>
          <w:bCs/>
          <w:sz w:val="28"/>
          <w:szCs w:val="28"/>
          <w:lang w:val="en-US" w:eastAsia="zh-CN"/>
        </w:rPr>
        <w:footnoteReference w:id="3"/>
      </w:r>
      <w:bookmarkEnd w:id="53"/>
      <w:bookmarkEnd w:id="54"/>
      <w:bookmarkEnd w:id="55"/>
      <w:bookmarkEnd w:id="56"/>
      <w:r>
        <w:rPr>
          <w:rFonts w:hint="eastAsia" w:ascii="宋体" w:hAnsi="宋体" w:cs="宋体"/>
          <w:b/>
          <w:bCs/>
          <w:sz w:val="28"/>
          <w:szCs w:val="28"/>
        </w:rPr>
        <w:t xml:space="preserve"> </w:t>
      </w:r>
    </w:p>
    <w:bookmarkEnd w:id="57"/>
    <w:bookmarkEnd w:id="58"/>
    <w:bookmarkEnd w:id="59"/>
    <w:p>
      <w:pPr>
        <w:bidi w:val="0"/>
        <w:rPr>
          <w:rFonts w:hint="default"/>
          <w:highlight w:val="none"/>
          <w:lang w:val="en-US" w:eastAsia="zh-CN"/>
        </w:rPr>
      </w:pPr>
      <w:r>
        <w:rPr>
          <w:rFonts w:hint="eastAsia" w:ascii="宋体" w:hAnsi="宋体" w:eastAsia="宋体" w:cs="宋体"/>
          <w:highlight w:val="none"/>
          <w:lang w:val="en-US" w:eastAsia="zh-CN"/>
        </w:rPr>
        <w:t>2022</w:t>
      </w:r>
      <w:r>
        <w:rPr>
          <w:rFonts w:hint="eastAsia"/>
          <w:highlight w:val="none"/>
          <w:lang w:val="en-US" w:eastAsia="zh-CN"/>
        </w:rPr>
        <w:t>届毕业生的毕业去向以签订协议和劳动合同为主，共有</w:t>
      </w:r>
      <w:r>
        <w:rPr>
          <w:rFonts w:hint="eastAsia" w:ascii="宋体" w:hAnsi="宋体" w:cs="宋体"/>
          <w:sz w:val="24"/>
          <w:szCs w:val="24"/>
          <w:highlight w:val="none"/>
          <w:lang w:val="en-US" w:eastAsia="zh-CN"/>
        </w:rPr>
        <w:t>720</w:t>
      </w:r>
      <w:r>
        <w:rPr>
          <w:rFonts w:hint="eastAsia"/>
          <w:highlight w:val="none"/>
          <w:lang w:val="en-US" w:eastAsia="zh-CN"/>
        </w:rPr>
        <w:t>人通过签订协议和劳动合同方式就业，</w:t>
      </w:r>
      <w:r>
        <w:rPr>
          <w:rFonts w:hint="eastAsia" w:ascii="宋体" w:hAnsi="宋体" w:cs="宋体"/>
          <w:sz w:val="24"/>
          <w:szCs w:val="24"/>
          <w:highlight w:val="none"/>
          <w:lang w:val="en-US" w:eastAsia="zh-CN"/>
        </w:rPr>
        <w:t>占</w:t>
      </w:r>
      <w:r>
        <w:rPr>
          <w:rFonts w:hint="eastAsia"/>
          <w:highlight w:val="none"/>
          <w:lang w:val="en-US" w:eastAsia="zh-CN"/>
        </w:rPr>
        <w:t>全部毕业生比例是</w:t>
      </w:r>
      <w:r>
        <w:rPr>
          <w:rFonts w:hint="eastAsia" w:ascii="宋体" w:hAnsi="宋体" w:cs="宋体"/>
          <w:sz w:val="24"/>
          <w:szCs w:val="24"/>
          <w:highlight w:val="none"/>
          <w:lang w:val="en-US" w:eastAsia="zh-CN"/>
        </w:rPr>
        <w:t>51.28%，另外升学（含出国出境）人数473人占比是33.69%，毕业去向未落实毕业生累计131人占比是9.33%，如图：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3081655"/>
            <wp:effectExtent l="0" t="0" r="7620" b="4445"/>
            <wp:docPr id="14" name="图表 14"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eastAsia" w:ascii="宋体" w:hAnsi="宋体" w:eastAsia="宋体" w:cs="宋体"/>
          <w:kern w:val="2"/>
          <w:sz w:val="21"/>
          <w:szCs w:val="21"/>
          <w:lang w:val="en-US" w:eastAsia="zh-CN" w:bidi="ar-SA"/>
        </w:rPr>
        <w:t>图：2022届全校毕业生七率统计</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w:t>
      </w:r>
      <w:r>
        <w:rPr>
          <w:rFonts w:hint="eastAsia" w:ascii="宋体" w:hAnsi="宋体" w:eastAsia="宋体" w:cs="宋体"/>
          <w:kern w:val="2"/>
          <w:sz w:val="21"/>
          <w:szCs w:val="21"/>
          <w:lang w:val="en-US" w:eastAsia="zh-CN" w:bidi="ar-SA"/>
        </w:rPr>
        <w:t>2022届毕业生初次就业七率分性别统计表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1"/>
        <w:gridCol w:w="1952"/>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trPr>
        <w:tc>
          <w:tcPr>
            <w:tcW w:w="2537" w:type="pct"/>
            <w:shd w:val="clear" w:color="auto" w:fill="548DD4"/>
            <w:noWrap w:val="0"/>
            <w:tcMar>
              <w:top w:w="8" w:type="dxa"/>
              <w:left w:w="8" w:type="dxa"/>
              <w:right w:w="8" w:type="dxa"/>
            </w:tcMar>
            <w:vAlign w:val="center"/>
          </w:tcPr>
          <w:p>
            <w:pPr>
              <w:pStyle w:val="38"/>
              <w:bidi w:val="0"/>
              <w:rPr>
                <w:rFonts w:hint="default"/>
                <w:b/>
                <w:bCs/>
                <w:color w:val="FFFFFF"/>
                <w:lang w:val="en-US"/>
              </w:rPr>
            </w:pPr>
            <w:r>
              <w:rPr>
                <w:rFonts w:hint="eastAsia"/>
                <w:b/>
                <w:bCs/>
                <w:color w:val="FFFFFF"/>
                <w:lang w:val="en-US" w:eastAsia="zh-CN"/>
              </w:rPr>
              <w:t>统计项目</w:t>
            </w:r>
          </w:p>
        </w:tc>
        <w:tc>
          <w:tcPr>
            <w:tcW w:w="1133"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男生</w:t>
            </w:r>
          </w:p>
        </w:tc>
        <w:tc>
          <w:tcPr>
            <w:tcW w:w="1329"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女生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毕业去向落实率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89.94%</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签订协议和劳动合同就业率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53.07%</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灵活就业率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5.96%</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创业率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1.86%</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升学率(含出国留学)</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29.05%</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暂不就业率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1.86%</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37" w:type="pct"/>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待就业率</w:t>
            </w:r>
          </w:p>
        </w:tc>
        <w:tc>
          <w:tcPr>
            <w:tcW w:w="1133"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8.19%</w:t>
            </w:r>
          </w:p>
        </w:tc>
        <w:tc>
          <w:tcPr>
            <w:tcW w:w="1329"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6.69%</w:t>
            </w:r>
          </w:p>
        </w:tc>
      </w:tr>
    </w:tbl>
    <w:p>
      <w:pPr>
        <w:bidi w:val="0"/>
        <w:rPr>
          <w:rFonts w:hint="eastAsia"/>
          <w:highlight w:val="yellow"/>
          <w:lang w:val="en-US" w:eastAsia="zh-CN"/>
        </w:rPr>
      </w:pPr>
      <w:bookmarkStart w:id="60" w:name="_Toc5310"/>
    </w:p>
    <w:p>
      <w:pPr>
        <w:bidi w:val="0"/>
        <w:ind w:left="0" w:leftChars="0" w:firstLine="480" w:firstLineChars="200"/>
        <w:rPr>
          <w:rFonts w:hint="eastAsia"/>
          <w:highlight w:val="none"/>
          <w:lang w:val="en-US" w:eastAsia="zh-CN"/>
        </w:rPr>
      </w:pPr>
      <w:r>
        <w:rPr>
          <w:rFonts w:hint="eastAsia"/>
          <w:highlight w:val="none"/>
          <w:lang w:val="en-US" w:eastAsia="zh-CN"/>
        </w:rPr>
        <w:t>以下是优秀毕业生</w:t>
      </w:r>
      <w:r>
        <w:rPr>
          <w:rStyle w:val="24"/>
          <w:rFonts w:hint="eastAsia" w:ascii="宋体" w:hAnsi="宋体" w:cs="宋体"/>
          <w:b/>
          <w:bCs/>
          <w:sz w:val="28"/>
          <w:szCs w:val="28"/>
          <w:lang w:val="en-US" w:eastAsia="zh-CN"/>
        </w:rPr>
        <w:footnoteReference w:id="4"/>
      </w:r>
      <w:r>
        <w:rPr>
          <w:rFonts w:hint="eastAsia"/>
          <w:highlight w:val="none"/>
          <w:lang w:val="en-US" w:eastAsia="zh-CN"/>
        </w:rPr>
        <w:t>、少数民族毕业生和特殊群体的就业七率统计。如下图：</w:t>
      </w:r>
    </w:p>
    <w:p>
      <w:pPr>
        <w:pStyle w:val="46"/>
        <w:spacing w:line="360" w:lineRule="auto"/>
        <w:ind w:left="0" w:leftChars="0" w:firstLine="0" w:firstLineChars="0"/>
        <w:jc w:val="center"/>
        <w:rPr>
          <w:rFonts w:hint="eastAsia" w:ascii="宋体" w:hAnsi="宋体" w:cs="宋体"/>
          <w:b/>
          <w:bCs/>
          <w:lang w:val="en-US" w:eastAsia="zh-CN"/>
        </w:rPr>
      </w:pPr>
      <w:r>
        <w:rPr>
          <w:rFonts w:hint="eastAsia" w:ascii="宋体" w:hAnsi="宋体" w:eastAsia="宋体" w:cs="宋体"/>
          <w:b/>
          <w:bCs/>
          <w:sz w:val="32"/>
          <w:szCs w:val="32"/>
          <w:lang w:eastAsia="zh-CN"/>
        </w:rPr>
        <w:drawing>
          <wp:inline distT="0" distB="0" distL="114300" distR="114300">
            <wp:extent cx="5478780" cy="3081655"/>
            <wp:effectExtent l="0" t="0" r="7620" b="4445"/>
            <wp:docPr id="130" name="图表 130"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hint="eastAsia" w:ascii="宋体" w:hAnsi="宋体" w:cs="宋体"/>
          <w:kern w:val="2"/>
          <w:sz w:val="21"/>
          <w:szCs w:val="21"/>
          <w:lang w:val="en-US" w:eastAsia="zh-CN" w:bidi="ar-SA"/>
        </w:rPr>
        <w:t>图：2022届</w:t>
      </w:r>
      <w:r>
        <w:rPr>
          <w:rFonts w:hint="eastAsia" w:ascii="宋体" w:hAnsi="宋体" w:eastAsia="宋体" w:cs="宋体"/>
          <w:kern w:val="2"/>
          <w:sz w:val="21"/>
          <w:szCs w:val="21"/>
          <w:lang w:val="en-US" w:eastAsia="zh-CN" w:bidi="ar-SA"/>
        </w:rPr>
        <w:t>优秀毕业生七率统计</w:t>
      </w:r>
    </w:p>
    <w:p>
      <w:pPr>
        <w:pStyle w:val="16"/>
        <w:bidi w:val="0"/>
        <w:ind w:left="0" w:leftChars="0" w:firstLine="0" w:firstLineChars="0"/>
        <w:jc w:val="center"/>
        <w:rPr>
          <w:rFonts w:hint="eastAsia" w:ascii="宋体" w:hAnsi="宋体" w:cs="宋体"/>
          <w:b/>
          <w:bCs/>
          <w:lang w:val="en-US" w:eastAsia="zh-CN"/>
        </w:rPr>
      </w:pPr>
      <w:r>
        <w:rPr>
          <w:rFonts w:hint="eastAsia" w:ascii="宋体" w:hAnsi="宋体" w:eastAsia="宋体" w:cs="宋体"/>
          <w:b/>
          <w:bCs/>
          <w:sz w:val="32"/>
          <w:szCs w:val="32"/>
          <w:lang w:eastAsia="zh-CN"/>
        </w:rPr>
        <w:drawing>
          <wp:inline distT="0" distB="0" distL="114300" distR="114300">
            <wp:extent cx="5478780" cy="3081655"/>
            <wp:effectExtent l="0" t="0" r="7620" b="4445"/>
            <wp:docPr id="132" name="图表 132"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eastAsia" w:ascii="宋体" w:hAnsi="宋体" w:eastAsia="宋体" w:cs="宋体"/>
          <w:kern w:val="2"/>
          <w:sz w:val="21"/>
          <w:szCs w:val="21"/>
          <w:lang w:val="en-US" w:eastAsia="zh-CN" w:bidi="ar-SA"/>
        </w:rPr>
        <w:t>图：2022届少数</w:t>
      </w:r>
      <w:r>
        <w:rPr>
          <w:rFonts w:hint="eastAsia" w:ascii="宋体" w:hAnsi="宋体" w:cs="宋体"/>
          <w:kern w:val="2"/>
          <w:sz w:val="21"/>
          <w:szCs w:val="21"/>
          <w:lang w:val="en-US" w:eastAsia="zh-CN" w:bidi="ar-SA"/>
        </w:rPr>
        <w:t>民族毕业生</w:t>
      </w:r>
      <w:r>
        <w:rPr>
          <w:rFonts w:hint="eastAsia" w:ascii="宋体" w:hAnsi="宋体" w:eastAsia="宋体" w:cs="宋体"/>
          <w:kern w:val="2"/>
          <w:sz w:val="21"/>
          <w:szCs w:val="21"/>
          <w:lang w:val="en-US" w:eastAsia="zh-CN" w:bidi="ar-SA"/>
        </w:rPr>
        <w:t>七率统计</w:t>
      </w:r>
    </w:p>
    <w:p>
      <w:pPr>
        <w:pStyle w:val="46"/>
        <w:spacing w:line="36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3081655"/>
            <wp:effectExtent l="0" t="0" r="7620" b="4445"/>
            <wp:docPr id="133" name="图表 133"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eastAsia" w:ascii="宋体" w:hAnsi="宋体" w:cs="宋体"/>
          <w:kern w:val="2"/>
          <w:sz w:val="21"/>
          <w:szCs w:val="21"/>
          <w:lang w:val="en-US" w:eastAsia="zh-CN" w:bidi="ar-SA"/>
        </w:rPr>
        <w:t>图：2022届特殊群体</w:t>
      </w:r>
      <w:r>
        <w:rPr>
          <w:rFonts w:hint="eastAsia" w:ascii="宋体" w:hAnsi="宋体" w:eastAsia="宋体" w:cs="宋体"/>
          <w:kern w:val="2"/>
          <w:sz w:val="21"/>
          <w:szCs w:val="21"/>
          <w:lang w:val="en-US" w:eastAsia="zh-CN" w:bidi="ar-SA"/>
        </w:rPr>
        <w:t>毕业生七率统计</w:t>
      </w:r>
    </w:p>
    <w:p>
      <w:pPr>
        <w:pStyle w:val="3"/>
        <w:numPr>
          <w:ilvl w:val="0"/>
          <w:numId w:val="3"/>
        </w:numPr>
        <w:bidi w:val="0"/>
        <w:rPr>
          <w:rFonts w:hint="default"/>
          <w:lang w:val="en-US" w:eastAsia="zh-CN"/>
        </w:rPr>
      </w:pPr>
      <w:bookmarkStart w:id="61" w:name="_Toc27722"/>
      <w:bookmarkStart w:id="62" w:name="_Toc29214"/>
      <w:bookmarkStart w:id="63" w:name="_Toc19822"/>
      <w:bookmarkStart w:id="64" w:name="_Toc23641"/>
      <w:bookmarkStart w:id="65" w:name="_Toc20144"/>
      <w:r>
        <w:rPr>
          <w:rFonts w:hint="eastAsia"/>
          <w:lang w:val="en-US" w:eastAsia="zh-CN"/>
        </w:rPr>
        <w:t>全校毕业生去向落实情况统计</w:t>
      </w:r>
      <w:bookmarkEnd w:id="61"/>
      <w:bookmarkEnd w:id="62"/>
      <w:bookmarkEnd w:id="63"/>
      <w:bookmarkEnd w:id="64"/>
      <w:bookmarkEnd w:id="65"/>
    </w:p>
    <w:p>
      <w:pPr>
        <w:bidi w:val="0"/>
        <w:rPr>
          <w:rFonts w:hint="eastAsia"/>
          <w:highlight w:val="none"/>
          <w:lang w:val="en-US" w:eastAsia="zh-CN"/>
        </w:rPr>
      </w:pPr>
      <w:r>
        <w:rPr>
          <w:rFonts w:hint="eastAsia"/>
          <w:highlight w:val="none"/>
          <w:lang w:val="en-US" w:eastAsia="zh-CN"/>
        </w:rPr>
        <w:t>2022届毕业生总数为1404人，毕业去向落实人数是1273人，初次毕业去向落实率90.67%。学校整体初次毕业去向落实率高，在全部8个院系中有7个院系的初次毕业去向落实率达到85%的基本目标。各学院毕业去向落实率和签订协议和劳动合同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毕业去向落实率</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5"/>
        <w:gridCol w:w="1399"/>
        <w:gridCol w:w="1399"/>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562" w:type="pct"/>
            <w:vMerge w:val="restart"/>
            <w:shd w:val="clear" w:color="auto" w:fill="4F81BD"/>
            <w:noWrap w:val="0"/>
            <w:tcMar>
              <w:top w:w="8" w:type="dxa"/>
              <w:left w:w="8" w:type="dxa"/>
              <w:right w:w="8" w:type="dxa"/>
            </w:tcMar>
            <w:vAlign w:val="center"/>
          </w:tcPr>
          <w:p>
            <w:pPr>
              <w:pStyle w:val="38"/>
              <w:bidi w:val="0"/>
              <w:rPr>
                <w:rFonts w:hint="eastAsia"/>
                <w:b/>
                <w:bCs/>
                <w:color w:val="FFFFFF"/>
                <w:lang w:eastAsia="zh-CN"/>
              </w:rPr>
            </w:pPr>
            <w:r>
              <w:rPr>
                <w:rFonts w:hint="eastAsia"/>
                <w:b/>
                <w:bCs/>
                <w:color w:val="FFFFFF"/>
                <w:lang w:eastAsia="zh-CN"/>
              </w:rPr>
              <w:t>学院名称</w:t>
            </w:r>
          </w:p>
        </w:tc>
        <w:tc>
          <w:tcPr>
            <w:tcW w:w="812" w:type="pct"/>
            <w:vMerge w:val="restart"/>
            <w:shd w:val="clear" w:color="auto" w:fill="4F81BD"/>
            <w:noWrap w:val="0"/>
            <w:tcMar>
              <w:top w:w="8" w:type="dxa"/>
              <w:left w:w="8" w:type="dxa"/>
              <w:right w:w="8" w:type="dxa"/>
            </w:tcMar>
            <w:vAlign w:val="center"/>
          </w:tcPr>
          <w:p>
            <w:pPr>
              <w:pStyle w:val="38"/>
              <w:bidi w:val="0"/>
              <w:rPr>
                <w:b/>
                <w:bCs/>
                <w:color w:val="FFFFFF"/>
              </w:rPr>
            </w:pPr>
            <w:r>
              <w:rPr>
                <w:rFonts w:hint="eastAsia"/>
                <w:b/>
                <w:bCs/>
                <w:color w:val="FFFFFF"/>
              </w:rPr>
              <w:t>总人数</w:t>
            </w:r>
          </w:p>
        </w:tc>
        <w:tc>
          <w:tcPr>
            <w:tcW w:w="1624" w:type="pct"/>
            <w:gridSpan w:val="2"/>
            <w:shd w:val="clear" w:color="auto" w:fill="4F81BD"/>
            <w:noWrap w:val="0"/>
            <w:tcMar>
              <w:top w:w="8" w:type="dxa"/>
              <w:left w:w="8" w:type="dxa"/>
              <w:right w:w="8" w:type="dxa"/>
            </w:tcMar>
            <w:vAlign w:val="center"/>
          </w:tcPr>
          <w:p>
            <w:pPr>
              <w:pStyle w:val="38"/>
              <w:bidi w:val="0"/>
              <w:rPr>
                <w:rFonts w:hint="eastAsia"/>
                <w:b/>
                <w:bCs/>
                <w:color w:val="FFFFFF"/>
                <w:lang w:eastAsia="zh-CN"/>
              </w:rPr>
            </w:pPr>
            <w:r>
              <w:rPr>
                <w:rFonts w:hint="eastAsia"/>
                <w:b/>
                <w:bCs/>
                <w:color w:val="FFFFFF"/>
                <w:lang w:eastAsia="zh-CN"/>
              </w:rPr>
              <w:t>毕业去向落实率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562" w:type="pct"/>
            <w:vMerge w:val="continue"/>
            <w:shd w:val="clear" w:color="auto" w:fill="4F81BD"/>
            <w:noWrap w:val="0"/>
            <w:tcMar>
              <w:top w:w="8" w:type="dxa"/>
              <w:left w:w="8" w:type="dxa"/>
              <w:right w:w="8" w:type="dxa"/>
            </w:tcMar>
            <w:vAlign w:val="center"/>
          </w:tcPr>
          <w:p>
            <w:pPr>
              <w:pStyle w:val="38"/>
              <w:bidi w:val="0"/>
              <w:rPr>
                <w:b/>
                <w:bCs/>
                <w:color w:val="FFFFFF"/>
              </w:rPr>
            </w:pPr>
          </w:p>
        </w:tc>
        <w:tc>
          <w:tcPr>
            <w:tcW w:w="812" w:type="pct"/>
            <w:vMerge w:val="continue"/>
            <w:shd w:val="clear" w:color="auto" w:fill="4F81BD"/>
            <w:noWrap w:val="0"/>
            <w:tcMar>
              <w:top w:w="8" w:type="dxa"/>
              <w:left w:w="8" w:type="dxa"/>
              <w:right w:w="8" w:type="dxa"/>
            </w:tcMar>
            <w:vAlign w:val="center"/>
          </w:tcPr>
          <w:p>
            <w:pPr>
              <w:pStyle w:val="38"/>
              <w:bidi w:val="0"/>
              <w:rPr>
                <w:b/>
                <w:bCs/>
                <w:color w:val="FFFFFF"/>
              </w:rPr>
            </w:pPr>
          </w:p>
        </w:tc>
        <w:tc>
          <w:tcPr>
            <w:tcW w:w="812" w:type="pct"/>
            <w:shd w:val="clear" w:color="auto" w:fill="4F81BD"/>
            <w:noWrap w:val="0"/>
            <w:tcMar>
              <w:top w:w="8" w:type="dxa"/>
              <w:left w:w="8" w:type="dxa"/>
              <w:right w:w="8" w:type="dxa"/>
            </w:tcMar>
            <w:vAlign w:val="center"/>
          </w:tcPr>
          <w:p>
            <w:pPr>
              <w:pStyle w:val="38"/>
              <w:bidi w:val="0"/>
              <w:rPr>
                <w:b/>
                <w:bCs/>
                <w:color w:val="FFFFFF"/>
              </w:rPr>
            </w:pPr>
            <w:r>
              <w:rPr>
                <w:b/>
                <w:bCs/>
                <w:color w:val="FFFFFF"/>
              </w:rPr>
              <w:t>人数</w:t>
            </w:r>
          </w:p>
        </w:tc>
        <w:tc>
          <w:tcPr>
            <w:tcW w:w="812" w:type="pct"/>
            <w:shd w:val="clear" w:color="auto" w:fill="4F81BD"/>
            <w:noWrap w:val="0"/>
            <w:tcMar>
              <w:top w:w="8" w:type="dxa"/>
              <w:left w:w="8" w:type="dxa"/>
              <w:right w:w="8" w:type="dxa"/>
            </w:tcMar>
            <w:vAlign w:val="center"/>
          </w:tcPr>
          <w:p>
            <w:pPr>
              <w:pStyle w:val="38"/>
              <w:bidi w:val="0"/>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戏剧学院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126</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119</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戏曲学院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舞蹈学院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305</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综合艺术学院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音乐学院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196</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175</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新闻传媒学院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83</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74</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美术学院</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382</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340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19社招班</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w:t>
            </w:r>
          </w:p>
        </w:tc>
        <w:tc>
          <w:tcPr>
            <w:tcW w:w="812"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80.00%</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bidi w:val="0"/>
        <w:rPr>
          <w:rFonts w:hint="eastAsia"/>
          <w:highlight w:val="none"/>
          <w:lang w:val="en-US" w:eastAsia="zh-CN"/>
        </w:rPr>
      </w:pPr>
      <w:r>
        <w:rPr>
          <w:rFonts w:hint="eastAsia"/>
          <w:highlight w:val="none"/>
          <w:lang w:val="en-US" w:eastAsia="zh-CN"/>
        </w:rPr>
        <w:t>签订就业协议和劳动合同就业包含毕业生毕业去向是签订就业协议就业、签订劳动合同形式就业、科研助理、应征义务兵和基层项目（国家和地方）的毕业生，2022届毕业生共有720人通过签订就业协议和劳动合同方式就业，占全部毕业生的51.28%，其中有3个院系的签订协议和劳动合同就业率超过60%，毕业生实际就业人数多。各学院签订就业协议和劳动合同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签订协议和劳动合同就业率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5"/>
        <w:gridCol w:w="1401"/>
        <w:gridCol w:w="1401"/>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2" w:type="pct"/>
            <w:vMerge w:val="restart"/>
            <w:shd w:val="clear" w:color="auto" w:fill="4F81BD"/>
            <w:noWrap w:val="0"/>
            <w:tcMar>
              <w:top w:w="8" w:type="dxa"/>
              <w:left w:w="8" w:type="dxa"/>
              <w:right w:w="8" w:type="dxa"/>
            </w:tcMar>
            <w:vAlign w:val="center"/>
          </w:tcPr>
          <w:p>
            <w:pPr>
              <w:pStyle w:val="38"/>
              <w:bidi w:val="0"/>
              <w:jc w:val="center"/>
              <w:rPr>
                <w:rFonts w:hint="eastAsia"/>
                <w:b/>
                <w:bCs/>
                <w:color w:val="FFFFFF"/>
                <w:lang w:eastAsia="zh-CN"/>
              </w:rPr>
            </w:pPr>
            <w:r>
              <w:rPr>
                <w:rFonts w:hint="eastAsia"/>
                <w:b/>
                <w:bCs/>
                <w:color w:val="FFFFFF"/>
                <w:lang w:eastAsia="zh-CN"/>
              </w:rPr>
              <w:t>学院名称</w:t>
            </w:r>
          </w:p>
        </w:tc>
        <w:tc>
          <w:tcPr>
            <w:tcW w:w="813" w:type="pct"/>
            <w:vMerge w:val="restart"/>
            <w:shd w:val="clear" w:color="auto" w:fill="4F81BD"/>
            <w:noWrap w:val="0"/>
            <w:tcMar>
              <w:top w:w="8" w:type="dxa"/>
              <w:left w:w="8" w:type="dxa"/>
              <w:right w:w="8" w:type="dxa"/>
            </w:tcMar>
            <w:vAlign w:val="center"/>
          </w:tcPr>
          <w:p>
            <w:pPr>
              <w:pStyle w:val="38"/>
              <w:bidi w:val="0"/>
              <w:jc w:val="center"/>
              <w:rPr>
                <w:b/>
                <w:bCs/>
                <w:color w:val="FFFFFF"/>
              </w:rPr>
            </w:pPr>
            <w:r>
              <w:rPr>
                <w:rFonts w:hint="eastAsia"/>
                <w:b/>
                <w:bCs/>
                <w:color w:val="FFFFFF"/>
              </w:rPr>
              <w:t>总人数</w:t>
            </w:r>
          </w:p>
        </w:tc>
        <w:tc>
          <w:tcPr>
            <w:tcW w:w="1623" w:type="pct"/>
            <w:gridSpan w:val="2"/>
            <w:shd w:val="clear" w:color="auto" w:fill="4F81BD"/>
            <w:noWrap w:val="0"/>
            <w:tcMar>
              <w:top w:w="8" w:type="dxa"/>
              <w:left w:w="8" w:type="dxa"/>
              <w:right w:w="8" w:type="dxa"/>
            </w:tcMar>
            <w:vAlign w:val="center"/>
          </w:tcPr>
          <w:p>
            <w:pPr>
              <w:pStyle w:val="38"/>
              <w:bidi w:val="0"/>
              <w:jc w:val="center"/>
              <w:rPr>
                <w:rFonts w:hint="eastAsia" w:eastAsia="宋体"/>
                <w:b/>
                <w:bCs/>
                <w:color w:val="FFFFFF"/>
                <w:lang w:eastAsia="zh-CN"/>
              </w:rPr>
            </w:pPr>
            <w:r>
              <w:rPr>
                <w:rFonts w:hint="eastAsia"/>
                <w:b/>
                <w:bCs/>
                <w:color w:val="FFFFFF"/>
                <w:lang w:eastAsia="zh-CN"/>
              </w:rPr>
              <w:t>签订协议和劳动合同就业率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2" w:type="pct"/>
            <w:vMerge w:val="continue"/>
            <w:shd w:val="clear" w:color="auto" w:fill="4F81BD"/>
            <w:noWrap w:val="0"/>
            <w:tcMar>
              <w:top w:w="8" w:type="dxa"/>
              <w:left w:w="8" w:type="dxa"/>
              <w:right w:w="8" w:type="dxa"/>
            </w:tcMar>
            <w:vAlign w:val="center"/>
          </w:tcPr>
          <w:p>
            <w:pPr>
              <w:pStyle w:val="38"/>
              <w:bidi w:val="0"/>
              <w:jc w:val="center"/>
              <w:rPr>
                <w:b/>
                <w:bCs/>
                <w:color w:val="FFFFFF"/>
              </w:rPr>
            </w:pPr>
          </w:p>
        </w:tc>
        <w:tc>
          <w:tcPr>
            <w:tcW w:w="813" w:type="pct"/>
            <w:vMerge w:val="continue"/>
            <w:shd w:val="clear" w:color="auto" w:fill="4F81BD"/>
            <w:noWrap w:val="0"/>
            <w:tcMar>
              <w:top w:w="8" w:type="dxa"/>
              <w:left w:w="8" w:type="dxa"/>
              <w:right w:w="8" w:type="dxa"/>
            </w:tcMar>
            <w:vAlign w:val="center"/>
          </w:tcPr>
          <w:p>
            <w:pPr>
              <w:pStyle w:val="38"/>
              <w:bidi w:val="0"/>
              <w:jc w:val="center"/>
              <w:rPr>
                <w:b/>
                <w:bCs/>
                <w:color w:val="FFFFFF"/>
              </w:rPr>
            </w:pPr>
          </w:p>
        </w:tc>
        <w:tc>
          <w:tcPr>
            <w:tcW w:w="813" w:type="pct"/>
            <w:shd w:val="clear" w:color="auto" w:fill="4F81BD"/>
            <w:noWrap w:val="0"/>
            <w:tcMar>
              <w:top w:w="8" w:type="dxa"/>
              <w:left w:w="8" w:type="dxa"/>
              <w:right w:w="8" w:type="dxa"/>
            </w:tcMar>
            <w:vAlign w:val="center"/>
          </w:tcPr>
          <w:p>
            <w:pPr>
              <w:pStyle w:val="38"/>
              <w:bidi w:val="0"/>
              <w:jc w:val="center"/>
              <w:rPr>
                <w:b/>
                <w:bCs/>
                <w:color w:val="FFFFFF"/>
              </w:rPr>
            </w:pPr>
            <w:r>
              <w:rPr>
                <w:b/>
                <w:bCs/>
                <w:color w:val="FFFFFF"/>
              </w:rPr>
              <w:t>人数</w:t>
            </w:r>
          </w:p>
        </w:tc>
        <w:tc>
          <w:tcPr>
            <w:tcW w:w="809" w:type="pct"/>
            <w:shd w:val="clear" w:color="auto" w:fill="4F81BD"/>
            <w:noWrap w:val="0"/>
            <w:tcMar>
              <w:top w:w="8" w:type="dxa"/>
              <w:left w:w="8" w:type="dxa"/>
              <w:right w:w="8" w:type="dxa"/>
            </w:tcMar>
            <w:vAlign w:val="center"/>
          </w:tcPr>
          <w:p>
            <w:pPr>
              <w:pStyle w:val="38"/>
              <w:bidi w:val="0"/>
              <w:jc w:val="center"/>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综合艺术学院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240</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162</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舞蹈学院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330</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219</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戏曲学院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戏剧学院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126</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72</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音乐学院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196</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75</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美术学院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382</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141</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新闻传媒学院</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83</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2" w:type="pct"/>
            <w:shd w:val="clear" w:color="auto" w:fill="FFFFFF"/>
            <w:noWrap w:val="0"/>
            <w:tcMar>
              <w:top w:w="8" w:type="dxa"/>
              <w:left w:w="8" w:type="dxa"/>
              <w:right w:w="8" w:type="dxa"/>
            </w:tcMar>
            <w:vAlign w:val="center"/>
          </w:tcPr>
          <w:p>
            <w:pPr>
              <w:pStyle w:val="38"/>
              <w:bidi w:val="0"/>
              <w:spacing w:line="240" w:lineRule="auto"/>
              <w:jc w:val="center"/>
            </w:pPr>
            <w:r>
              <w:rPr>
                <w:rFonts w:hint="default"/>
                <w:lang w:val="en-US" w:eastAsia="zh-CN"/>
              </w:rPr>
              <w:t>19社招班</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w:t>
            </w:r>
          </w:p>
        </w:tc>
        <w:tc>
          <w:tcPr>
            <w:tcW w:w="813"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809"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33.33%</w:t>
            </w:r>
          </w:p>
        </w:tc>
      </w:tr>
    </w:tbl>
    <w:p>
      <w:pPr>
        <w:bidi w:val="0"/>
        <w:rPr>
          <w:rFonts w:hint="eastAsia"/>
          <w:highlight w:val="yellow"/>
          <w:lang w:val="en-US" w:eastAsia="zh-CN"/>
        </w:rPr>
      </w:pPr>
    </w:p>
    <w:p>
      <w:pPr>
        <w:bidi w:val="0"/>
        <w:rPr>
          <w:rFonts w:hint="eastAsia"/>
          <w:highlight w:val="none"/>
          <w:lang w:val="en-US" w:eastAsia="zh-CN"/>
        </w:rPr>
      </w:pPr>
      <w:r>
        <w:rPr>
          <w:rFonts w:hint="eastAsia"/>
          <w:highlight w:val="none"/>
          <w:lang w:val="en-US" w:eastAsia="zh-CN"/>
        </w:rPr>
        <w:t>灵活就业是指毕业去向是其它形式就业和自由职业的就业方式，安徽艺术职业学院响应教育部和上级主管部门要求，全校整体灵活就业率低，2022届毕业生有60人灵活就业方式就业，占全部毕业生的4.27%。各学院灵活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灵活就业率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5"/>
        <w:gridCol w:w="1475"/>
        <w:gridCol w:w="1356"/>
        <w:gridCol w:w="1356"/>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2"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6"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80" w:type="pct"/>
            <w:gridSpan w:val="3"/>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eastAsia="zh-CN"/>
              </w:rPr>
              <w:t>灵活就业率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397" w:hRule="atLeast"/>
          <w:tblHeader/>
        </w:trPr>
        <w:tc>
          <w:tcPr>
            <w:tcW w:w="2562" w:type="pct"/>
            <w:vMerge w:val="continue"/>
            <w:shd w:val="clear" w:color="auto" w:fill="4F81BD"/>
            <w:noWrap w:val="0"/>
            <w:tcMar>
              <w:top w:w="8" w:type="dxa"/>
              <w:left w:w="8" w:type="dxa"/>
              <w:right w:w="8" w:type="dxa"/>
            </w:tcMar>
            <w:vAlign w:val="center"/>
          </w:tcPr>
          <w:p>
            <w:pPr>
              <w:pStyle w:val="38"/>
              <w:rPr>
                <w:b/>
                <w:bCs/>
                <w:color w:val="FFFFFF"/>
              </w:rPr>
            </w:pPr>
          </w:p>
        </w:tc>
        <w:tc>
          <w:tcPr>
            <w:tcW w:w="856" w:type="pct"/>
            <w:vMerge w:val="continue"/>
            <w:shd w:val="clear" w:color="auto" w:fill="4F81BD"/>
            <w:noWrap w:val="0"/>
            <w:tcMar>
              <w:top w:w="8" w:type="dxa"/>
              <w:left w:w="8" w:type="dxa"/>
              <w:right w:w="8" w:type="dxa"/>
            </w:tcMar>
            <w:vAlign w:val="center"/>
          </w:tcPr>
          <w:p>
            <w:pPr>
              <w:pStyle w:val="38"/>
              <w:rPr>
                <w:b/>
                <w:bCs/>
                <w:color w:val="FFFFFF"/>
              </w:rPr>
            </w:pPr>
          </w:p>
        </w:tc>
        <w:tc>
          <w:tcPr>
            <w:tcW w:w="787"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7" w:type="pct"/>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新闻传媒学院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83</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19社招班</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30</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382</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21</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舞蹈学院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330</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13</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196</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454" w:hRule="atLeast"/>
          <w:tblHeader/>
        </w:trPr>
        <w:tc>
          <w:tcPr>
            <w:tcW w:w="2562"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综合艺术学院</w:t>
            </w:r>
          </w:p>
        </w:tc>
        <w:tc>
          <w:tcPr>
            <w:tcW w:w="856"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240</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w:t>
            </w:r>
          </w:p>
        </w:tc>
        <w:tc>
          <w:tcPr>
            <w:tcW w:w="78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0.83%</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bidi w:val="0"/>
        <w:rPr>
          <w:rFonts w:hint="eastAsia"/>
          <w:highlight w:val="none"/>
          <w:lang w:val="en-US" w:eastAsia="zh-CN"/>
        </w:rPr>
      </w:pPr>
      <w:r>
        <w:rPr>
          <w:rFonts w:hint="eastAsia"/>
          <w:highlight w:val="none"/>
          <w:lang w:val="en-US" w:eastAsia="zh-CN"/>
        </w:rPr>
        <w:t>2015年</w:t>
      </w:r>
      <w:r>
        <w:rPr>
          <w:rFonts w:hint="default"/>
          <w:highlight w:val="none"/>
          <w:lang w:val="en-US" w:eastAsia="zh-CN"/>
        </w:rPr>
        <w:fldChar w:fldCharType="begin"/>
      </w:r>
      <w:r>
        <w:rPr>
          <w:rFonts w:hint="default"/>
          <w:highlight w:val="none"/>
          <w:lang w:val="en-US" w:eastAsia="zh-CN"/>
        </w:rPr>
        <w:instrText xml:space="preserve"> HYPERLINK "https://baike.so.com/doc/3553743-3737550.html" \t "https://baike.so.com/doc/_blank" </w:instrText>
      </w:r>
      <w:r>
        <w:rPr>
          <w:rFonts w:hint="default"/>
          <w:highlight w:val="none"/>
          <w:lang w:val="en-US" w:eastAsia="zh-CN"/>
        </w:rPr>
        <w:fldChar w:fldCharType="separate"/>
      </w:r>
      <w:r>
        <w:rPr>
          <w:rFonts w:hint="default"/>
          <w:highlight w:val="none"/>
          <w:lang w:val="en-US" w:eastAsia="zh-CN"/>
        </w:rPr>
        <w:t>李克强</w:t>
      </w:r>
      <w:r>
        <w:rPr>
          <w:rFonts w:hint="default"/>
          <w:highlight w:val="none"/>
          <w:lang w:val="en-US" w:eastAsia="zh-CN"/>
        </w:rPr>
        <w:fldChar w:fldCharType="end"/>
      </w:r>
      <w:r>
        <w:rPr>
          <w:rFonts w:hint="default"/>
          <w:highlight w:val="none"/>
          <w:lang w:val="en-US" w:eastAsia="zh-CN"/>
        </w:rPr>
        <w:t>总理在政府工作报告提出推动大众创业、万众创新</w:t>
      </w:r>
      <w:r>
        <w:rPr>
          <w:rFonts w:hint="eastAsia"/>
          <w:highlight w:val="none"/>
          <w:lang w:val="en-US" w:eastAsia="zh-CN"/>
        </w:rPr>
        <w:t>，</w:t>
      </w:r>
      <w:r>
        <w:rPr>
          <w:rFonts w:hint="default"/>
          <w:highlight w:val="none"/>
          <w:lang w:val="en-US" w:eastAsia="zh-CN"/>
        </w:rPr>
        <w:t>2018年9月18日，国务院</w:t>
      </w:r>
      <w:r>
        <w:rPr>
          <w:rFonts w:hint="eastAsia"/>
          <w:highlight w:val="none"/>
          <w:lang w:val="en-US" w:eastAsia="zh-CN"/>
        </w:rPr>
        <w:t>又</w:t>
      </w:r>
      <w:r>
        <w:rPr>
          <w:rFonts w:hint="default"/>
          <w:highlight w:val="none"/>
          <w:lang w:val="en-US" w:eastAsia="zh-CN"/>
        </w:rPr>
        <w:t>下发《关于推动创新创业高质量发展打造“双创”升级版的意见》</w:t>
      </w:r>
      <w:r>
        <w:rPr>
          <w:rFonts w:hint="eastAsia"/>
          <w:highlight w:val="none"/>
          <w:lang w:val="en-US" w:eastAsia="zh-CN"/>
        </w:rPr>
        <w:t>，安徽艺术职业学院积极响应，全校2022届毕业生中共有20人落实创新创业。各学院创业率占比分布如表：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各学院</w:t>
      </w:r>
      <w:r>
        <w:rPr>
          <w:rFonts w:hint="eastAsia" w:ascii="宋体" w:hAnsi="宋体" w:eastAsia="宋体" w:cs="宋体"/>
          <w:kern w:val="2"/>
          <w:sz w:val="21"/>
          <w:szCs w:val="21"/>
          <w:lang w:val="en-US" w:eastAsia="zh-CN" w:bidi="ar-SA"/>
        </w:rPr>
        <w:t>创业率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rPr>
              <w:t>创业率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19社招班</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9</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新闻传媒学院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83</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戏剧学院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126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舞蹈学院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330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382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0.26%</w:t>
            </w:r>
          </w:p>
        </w:tc>
      </w:tr>
    </w:tbl>
    <w:p>
      <w:pPr>
        <w:bidi w:val="0"/>
        <w:rPr>
          <w:rFonts w:hint="eastAsia"/>
          <w:lang w:val="en-US" w:eastAsia="zh-CN"/>
        </w:rPr>
      </w:pPr>
    </w:p>
    <w:p>
      <w:pPr>
        <w:bidi w:val="0"/>
        <w:rPr>
          <w:rFonts w:hint="eastAsia"/>
          <w:highlight w:val="none"/>
          <w:lang w:val="en-US" w:eastAsia="zh-CN"/>
        </w:rPr>
      </w:pPr>
      <w:r>
        <w:rPr>
          <w:rFonts w:hint="eastAsia"/>
          <w:highlight w:val="none"/>
          <w:lang w:val="en-US" w:eastAsia="zh-CN"/>
        </w:rPr>
        <w:t>暂不就业率包含毕业去向是暂不就业拟升学和其它暂不就业，2022届毕业生中两项指标数量分别是0人和29人，占全部毕业生的2.07%。各学院暂不就业率占比分布如表：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 表：</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各学院暂不就业率</w:t>
      </w:r>
    </w:p>
    <w:bookmarkEnd w:id="60"/>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57" w:type="pct"/>
            <w:vMerge w:val="restart"/>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总人数</w:t>
            </w:r>
          </w:p>
        </w:tc>
        <w:tc>
          <w:tcPr>
            <w:tcW w:w="1574" w:type="pct"/>
            <w:gridSpan w:val="2"/>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暂不就业率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bidi w:val="0"/>
              <w:rPr>
                <w:rFonts w:hint="eastAsia"/>
                <w:b/>
                <w:bCs/>
                <w:color w:val="FFFFFF"/>
                <w:lang w:val="en-US" w:eastAsia="zh-CN"/>
              </w:rPr>
            </w:pPr>
          </w:p>
        </w:tc>
        <w:tc>
          <w:tcPr>
            <w:tcW w:w="857" w:type="pct"/>
            <w:vMerge w:val="continue"/>
            <w:shd w:val="clear" w:color="auto" w:fill="4F81BD"/>
            <w:noWrap w:val="0"/>
            <w:tcMar>
              <w:top w:w="8" w:type="dxa"/>
              <w:left w:w="8" w:type="dxa"/>
              <w:right w:w="8" w:type="dxa"/>
            </w:tcMar>
            <w:vAlign w:val="center"/>
          </w:tcPr>
          <w:p>
            <w:pPr>
              <w:pStyle w:val="38"/>
              <w:bidi w:val="0"/>
              <w:rPr>
                <w:rFonts w:hint="eastAsia"/>
                <w:b/>
                <w:bCs/>
                <w:color w:val="FFFFFF"/>
                <w:lang w:val="en-US" w:eastAsia="zh-CN"/>
              </w:rPr>
            </w:pPr>
          </w:p>
        </w:tc>
        <w:tc>
          <w:tcPr>
            <w:tcW w:w="788" w:type="pct"/>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人数</w:t>
            </w:r>
          </w:p>
        </w:tc>
        <w:tc>
          <w:tcPr>
            <w:tcW w:w="790" w:type="pct"/>
            <w:gridSpan w:val="2"/>
            <w:shd w:val="clear" w:color="auto" w:fill="4F81BD"/>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19社招班</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30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舞蹈学院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330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9</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综合艺术学院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240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5</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196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4</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382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7</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新闻传媒学院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83</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ascii="Times New Roman" w:hAnsi="Times New Roman" w:eastAsia="宋体" w:cs="Times New Roman"/>
                <w:kern w:val="2"/>
                <w:sz w:val="24"/>
                <w:szCs w:val="22"/>
                <w:lang w:val="en-US" w:eastAsia="zh-CN" w:bidi="ar-SA"/>
              </w:rPr>
            </w:pPr>
            <w:r>
              <w:rPr>
                <w:rFonts w:hint="default" w:ascii="宋体" w:hAnsi="宋体" w:eastAsia="宋体" w:cs="宋体"/>
                <w:kern w:val="2"/>
                <w:sz w:val="21"/>
                <w:szCs w:val="21"/>
                <w:lang w:val="en-US" w:eastAsia="zh-CN" w:bidi="ar-SA"/>
              </w:rPr>
              <w:t>戏剧学院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126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1</w:t>
            </w:r>
          </w:p>
        </w:tc>
        <w:tc>
          <w:tcPr>
            <w:tcW w:w="790"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ascii="Times New Roman" w:hAnsi="Times New Roman" w:eastAsia="宋体" w:cs="Times New Roman"/>
                <w:kern w:val="2"/>
                <w:sz w:val="24"/>
                <w:szCs w:val="22"/>
                <w:lang w:val="en-US" w:eastAsia="zh-CN" w:bidi="ar-SA"/>
              </w:rPr>
            </w:pPr>
            <w:r>
              <w:rPr>
                <w:rFonts w:hint="eastAsia" w:ascii="宋体" w:hAnsi="宋体" w:eastAsia="宋体" w:cs="宋体"/>
                <w:kern w:val="2"/>
                <w:sz w:val="21"/>
                <w:szCs w:val="21"/>
                <w:lang w:val="en-US" w:eastAsia="zh-CN" w:bidi="ar-SA"/>
              </w:rPr>
              <w:t>0.79%</w:t>
            </w:r>
          </w:p>
        </w:tc>
      </w:tr>
    </w:tbl>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66" w:name="_Toc3125"/>
      <w:bookmarkStart w:id="67" w:name="_Toc14351"/>
      <w:bookmarkStart w:id="68" w:name="_Toc2502"/>
      <w:r>
        <w:rPr>
          <w:rFonts w:hint="eastAsia" w:ascii="宋体" w:hAnsi="宋体" w:cs="宋体"/>
          <w:b/>
          <w:bCs/>
          <w:sz w:val="28"/>
          <w:szCs w:val="28"/>
          <w:lang w:val="en-US" w:eastAsia="zh-CN"/>
        </w:rPr>
        <w:t>毕业</w:t>
      </w:r>
      <w:r>
        <w:rPr>
          <w:rFonts w:hint="eastAsia"/>
          <w:lang w:val="en-US" w:eastAsia="zh-CN"/>
        </w:rPr>
        <w:t>去向落实情况专项统计</w:t>
      </w:r>
      <w:bookmarkEnd w:id="66"/>
      <w:bookmarkEnd w:id="67"/>
    </w:p>
    <w:p>
      <w:pPr>
        <w:bidi w:val="0"/>
        <w:rPr>
          <w:rFonts w:hint="eastAsia"/>
          <w:highlight w:val="none"/>
          <w:lang w:val="en-US" w:eastAsia="zh-CN"/>
        </w:rPr>
      </w:pPr>
      <w:r>
        <w:rPr>
          <w:rFonts w:hint="eastAsia"/>
          <w:highlight w:val="none"/>
          <w:lang w:val="en-US" w:eastAsia="zh-CN"/>
        </w:rPr>
        <w:t>2022届毕业生总数为1404人，毕业去向落实人数是1273人，初次毕业去向落实率90.67%。毕业生整体初次毕业去向落实率高，在全部毕业生22个专业中有19个专业的初次毕业去向落实率达到85%的基本目标，其中有13个专业的初次毕业去向落实率达到90%，8个专业的初次毕业去向落实率达到95%，4个专业的毕业生实现初次毕业去向落实率达到100%。毕业生签订协议和劳动合同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表：2022</w:t>
      </w:r>
      <w:r>
        <w:rPr>
          <w:rFonts w:hint="eastAsia" w:ascii="宋体" w:hAnsi="宋体" w:eastAsia="宋体" w:cs="宋体"/>
          <w:kern w:val="2"/>
          <w:sz w:val="21"/>
          <w:szCs w:val="21"/>
          <w:lang w:val="en-US" w:eastAsia="zh-CN" w:bidi="ar-SA"/>
        </w:rPr>
        <w:t>届</w:t>
      </w:r>
      <w:r>
        <w:rPr>
          <w:rFonts w:hint="eastAsia" w:ascii="宋体" w:hAnsi="宋体" w:cs="宋体"/>
          <w:kern w:val="2"/>
          <w:sz w:val="21"/>
          <w:szCs w:val="21"/>
          <w:lang w:val="en-US" w:eastAsia="zh-CN" w:bidi="ar-SA"/>
        </w:rPr>
        <w:t>毕业生</w:t>
      </w:r>
      <w:r>
        <w:rPr>
          <w:rFonts w:hint="eastAsia" w:ascii="宋体" w:hAnsi="宋体" w:eastAsia="宋体" w:cs="宋体"/>
          <w:kern w:val="2"/>
          <w:sz w:val="21"/>
          <w:szCs w:val="21"/>
          <w:lang w:val="en-US" w:eastAsia="zh-CN" w:bidi="ar-SA"/>
        </w:rPr>
        <w:t>毕业去向落实率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3"/>
        <w:gridCol w:w="1377"/>
        <w:gridCol w:w="137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77"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5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毕业去向落实率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79"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表演艺术类</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人物形象设计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13</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摄影摄像技术</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艺术设计(公共)</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国际标准舞</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150</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149</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环境艺术设计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107</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103</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服装与服饰设计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22</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戏剧影视表演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60</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29</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戏曲表演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动漫设计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42</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影视编导</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46</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播音与主持</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87</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78</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高速铁路客运乘务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209</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186</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空中乘务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舞蹈表演</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189</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163</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135</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115</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数字媒体艺术设计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38</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32</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艺术设计(平面)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雕刻艺术设计</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37.50%</w:t>
            </w:r>
          </w:p>
        </w:tc>
      </w:tr>
    </w:tbl>
    <w:p>
      <w:pPr>
        <w:pStyle w:val="46"/>
        <w:spacing w:line="360" w:lineRule="auto"/>
        <w:ind w:firstLine="422"/>
        <w:jc w:val="center"/>
        <w:rPr>
          <w:rFonts w:hint="eastAsia" w:ascii="宋体" w:hAnsi="宋体" w:cs="宋体"/>
          <w:b/>
          <w:bCs/>
        </w:rPr>
      </w:pPr>
    </w:p>
    <w:p>
      <w:pPr>
        <w:bidi w:val="0"/>
        <w:rPr>
          <w:rFonts w:hint="eastAsia"/>
          <w:highlight w:val="none"/>
          <w:lang w:val="en-US" w:eastAsia="zh-CN"/>
        </w:rPr>
      </w:pPr>
      <w:r>
        <w:rPr>
          <w:rFonts w:hint="eastAsia"/>
          <w:highlight w:val="none"/>
          <w:lang w:val="en-US" w:eastAsia="zh-CN"/>
        </w:rPr>
        <w:t>2022届毕业生共有720人通过签订就业协议和劳动合同方式就业，占全部毕业生的51.28%，其中有6个专业的签订协议和劳动合同就业率超过60%，毕业生实际就业人数多。毕业生签订就业协议和劳动合同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表：2022</w:t>
      </w:r>
      <w:r>
        <w:rPr>
          <w:rFonts w:hint="eastAsia" w:ascii="宋体" w:hAnsi="宋体" w:eastAsia="宋体" w:cs="宋体"/>
          <w:kern w:val="2"/>
          <w:sz w:val="21"/>
          <w:szCs w:val="21"/>
          <w:lang w:val="en-US" w:eastAsia="zh-CN" w:bidi="ar-SA"/>
        </w:rPr>
        <w:t>届</w:t>
      </w:r>
      <w:r>
        <w:rPr>
          <w:rFonts w:hint="eastAsia" w:ascii="宋体" w:hAnsi="宋体" w:cs="宋体"/>
          <w:kern w:val="2"/>
          <w:sz w:val="21"/>
          <w:szCs w:val="21"/>
          <w:lang w:val="en-US" w:eastAsia="zh-CN" w:bidi="ar-SA"/>
        </w:rPr>
        <w:t>毕业生</w:t>
      </w:r>
      <w:r>
        <w:rPr>
          <w:rFonts w:hint="eastAsia" w:ascii="宋体" w:hAnsi="宋体" w:eastAsia="宋体" w:cs="宋体"/>
          <w:kern w:val="2"/>
          <w:sz w:val="21"/>
          <w:szCs w:val="21"/>
          <w:lang w:val="en-US" w:eastAsia="zh-CN" w:bidi="ar-SA"/>
        </w:rPr>
        <w:t>签订协议和劳动合同就业率</w:t>
      </w:r>
    </w:p>
    <w:tbl>
      <w:tblPr>
        <w:tblStyle w:val="17"/>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5"/>
        <w:gridCol w:w="1388"/>
        <w:gridCol w:w="13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88"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63" w:type="dxa"/>
            <w:gridSpan w:val="2"/>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签订协议和劳动合同就业率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88"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65"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人数</w:t>
            </w:r>
          </w:p>
        </w:tc>
        <w:tc>
          <w:tcPr>
            <w:tcW w:w="1398"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人物形象设计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摄影摄像技术</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18</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14</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高速铁路客运乘务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47</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国际标准舞</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150</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109</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空中乘务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37</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表演艺术</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戏曲表演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12</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舞蹈表演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189</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110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戏剧影视表演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34</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影视编导</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26</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美术</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29</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14</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服装与服饰设计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11</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135</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57</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音乐表演</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209</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81</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环境艺术设计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107</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播音与主持</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87</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32</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动漫设计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42</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13</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数字媒体艺术设计</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38</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艺术设计(公共)</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25.00%</w:t>
            </w:r>
          </w:p>
        </w:tc>
      </w:tr>
    </w:tbl>
    <w:p>
      <w:pPr>
        <w:pStyle w:val="46"/>
        <w:spacing w:line="360" w:lineRule="auto"/>
        <w:ind w:firstLine="422"/>
        <w:jc w:val="center"/>
        <w:rPr>
          <w:rFonts w:hint="eastAsia" w:ascii="宋体" w:hAnsi="宋体" w:cs="宋体"/>
          <w:b/>
          <w:bCs/>
        </w:rPr>
      </w:pPr>
    </w:p>
    <w:p>
      <w:pPr>
        <w:bidi w:val="0"/>
        <w:rPr>
          <w:rFonts w:hint="eastAsia"/>
          <w:highlight w:val="none"/>
          <w:lang w:val="en-US" w:eastAsia="zh-CN"/>
        </w:rPr>
      </w:pPr>
      <w:r>
        <w:rPr>
          <w:rFonts w:hint="eastAsia"/>
          <w:highlight w:val="none"/>
          <w:lang w:val="en-US" w:eastAsia="zh-CN"/>
        </w:rPr>
        <w:t>2022届毕业生有60人通过灵活就业方式就业，20人创业就业，两者共占全部毕业生的5.70%。毕业生灵活就业和创业率占比分布如表：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表：2022</w:t>
      </w:r>
      <w:r>
        <w:rPr>
          <w:rFonts w:hint="eastAsia" w:ascii="宋体" w:hAnsi="宋体" w:eastAsia="宋体" w:cs="宋体"/>
          <w:kern w:val="2"/>
          <w:sz w:val="21"/>
          <w:szCs w:val="21"/>
          <w:lang w:val="en-US" w:eastAsia="zh-CN" w:bidi="ar-SA"/>
        </w:rPr>
        <w:t>届</w:t>
      </w:r>
      <w:r>
        <w:rPr>
          <w:rFonts w:hint="eastAsia" w:ascii="宋体" w:hAnsi="宋体" w:cs="宋体"/>
          <w:kern w:val="2"/>
          <w:sz w:val="21"/>
          <w:szCs w:val="21"/>
          <w:lang w:val="en-US" w:eastAsia="zh-CN" w:bidi="ar-SA"/>
        </w:rPr>
        <w:t>毕业生</w:t>
      </w:r>
      <w:r>
        <w:rPr>
          <w:rFonts w:hint="eastAsia" w:ascii="宋体" w:hAnsi="宋体" w:eastAsia="宋体" w:cs="宋体"/>
          <w:kern w:val="2"/>
          <w:sz w:val="21"/>
          <w:szCs w:val="21"/>
          <w:lang w:val="en-US" w:eastAsia="zh-CN" w:bidi="ar-SA"/>
        </w:rPr>
        <w:t>灵活就业率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5"/>
        <w:gridCol w:w="1395"/>
        <w:gridCol w:w="135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4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灵活就业率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5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8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艺术设计(平面)</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艺术设计(公共)</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播音与主持</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87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20</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动漫设计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美术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环境艺术设计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7</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舞蹈表演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189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135</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5</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数字媒体艺术设计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38</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音乐表演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209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高速铁路客运乘务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国际标准舞</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表演艺术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default"/>
                <w:lang w:val="en-US" w:eastAsia="zh-CN"/>
              </w:rPr>
            </w:pPr>
            <w:r>
              <w:rPr>
                <w:rFonts w:hint="eastAsia" w:ascii="宋体" w:hAnsi="宋体" w:eastAsia="宋体" w:cs="宋体"/>
                <w:kern w:val="2"/>
                <w:sz w:val="21"/>
                <w:szCs w:val="21"/>
                <w:lang w:val="en-US" w:eastAsia="zh-CN" w:bidi="ar-SA"/>
              </w:rPr>
              <w:t>0.96%</w:t>
            </w:r>
          </w:p>
        </w:tc>
      </w:tr>
    </w:tbl>
    <w:p>
      <w:pPr>
        <w:pStyle w:val="46"/>
        <w:tabs>
          <w:tab w:val="left" w:pos="6186"/>
        </w:tabs>
        <w:spacing w:line="360" w:lineRule="auto"/>
        <w:ind w:firstLine="422"/>
        <w:jc w:val="center"/>
        <w:rPr>
          <w:rFonts w:hint="eastAsia" w:ascii="宋体" w:hAnsi="宋体" w:cs="宋体"/>
          <w:b/>
          <w:bCs/>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表：2022</w:t>
      </w:r>
      <w:r>
        <w:rPr>
          <w:rFonts w:hint="eastAsia" w:ascii="宋体" w:hAnsi="宋体" w:eastAsia="宋体" w:cs="宋体"/>
          <w:kern w:val="2"/>
          <w:sz w:val="21"/>
          <w:szCs w:val="21"/>
          <w:lang w:val="en-US" w:eastAsia="zh-CN" w:bidi="ar-SA"/>
        </w:rPr>
        <w:t>届</w:t>
      </w:r>
      <w:r>
        <w:rPr>
          <w:rFonts w:hint="eastAsia" w:ascii="宋体" w:hAnsi="宋体" w:cs="宋体"/>
          <w:kern w:val="2"/>
          <w:sz w:val="21"/>
          <w:szCs w:val="21"/>
          <w:lang w:val="en-US" w:eastAsia="zh-CN" w:bidi="ar-SA"/>
        </w:rPr>
        <w:t>毕业生</w:t>
      </w:r>
      <w:r>
        <w:rPr>
          <w:rFonts w:hint="eastAsia" w:ascii="宋体" w:hAnsi="宋体" w:eastAsia="宋体" w:cs="宋体"/>
          <w:kern w:val="2"/>
          <w:sz w:val="21"/>
          <w:szCs w:val="21"/>
          <w:lang w:val="en-US" w:eastAsia="zh-CN" w:bidi="ar-SA"/>
        </w:rPr>
        <w:t>创业率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5"/>
        <w:gridCol w:w="1395"/>
        <w:gridCol w:w="135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4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创业率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5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8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戏剧影视表演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播音与主持</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国际标准舞</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150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209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135</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0.74%</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bookmarkEnd w:id="68"/>
    <w:p>
      <w:pPr>
        <w:pStyle w:val="3"/>
        <w:keepNext/>
        <w:keepLines/>
        <w:pageBreakBefore w:val="0"/>
        <w:widowControl w:val="0"/>
        <w:numPr>
          <w:ilvl w:val="0"/>
          <w:numId w:val="3"/>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69" w:name="_Toc9812"/>
      <w:bookmarkStart w:id="70" w:name="_Toc29085"/>
      <w:bookmarkStart w:id="71" w:name="_Toc23132"/>
      <w:r>
        <w:rPr>
          <w:rFonts w:hint="eastAsia" w:ascii="宋体" w:hAnsi="宋体" w:cs="宋体"/>
          <w:b/>
          <w:bCs/>
          <w:sz w:val="28"/>
          <w:szCs w:val="28"/>
          <w:lang w:val="en-US" w:eastAsia="zh-CN"/>
        </w:rPr>
        <w:t>特殊群体</w:t>
      </w:r>
      <w:r>
        <w:rPr>
          <w:rFonts w:hint="eastAsia"/>
          <w:lang w:val="en-US" w:eastAsia="zh-CN"/>
        </w:rPr>
        <w:t>去向落实情况专项统计</w:t>
      </w:r>
      <w:bookmarkEnd w:id="69"/>
      <w:bookmarkEnd w:id="70"/>
    </w:p>
    <w:p>
      <w:pPr>
        <w:bidi w:val="0"/>
        <w:rPr>
          <w:rFonts w:hint="eastAsia"/>
          <w:highlight w:val="none"/>
          <w:lang w:val="en-US" w:eastAsia="zh-CN"/>
        </w:rPr>
      </w:pPr>
      <w:r>
        <w:rPr>
          <w:rFonts w:hint="eastAsia"/>
          <w:highlight w:val="none"/>
          <w:lang w:val="en-US" w:eastAsia="zh-CN"/>
        </w:rPr>
        <w:t>2022届特殊群体毕业生总数为106人，毕业去向落实人数是104人，初次毕业去向落实率98.11%。特殊群体毕业生整体初次毕业去向落实率高，在全部特殊群体毕业生7个院系中的初次毕业去向落实率达到85%的基本目标。特殊群体毕业生签订协议和劳动合同就业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表：2022届特殊群体毕业生毕业去向落实率</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3"/>
        <w:gridCol w:w="1377"/>
        <w:gridCol w:w="137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院系名称</w:t>
            </w:r>
          </w:p>
        </w:tc>
        <w:tc>
          <w:tcPr>
            <w:tcW w:w="1377"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5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毕业去向落实率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77"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79"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23</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23</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戏曲学院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新闻传媒学院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14</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14</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综合艺术学院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21</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21</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03"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美术学院</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29</w:t>
            </w:r>
          </w:p>
        </w:tc>
        <w:tc>
          <w:tcPr>
            <w:tcW w:w="13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27</w:t>
            </w:r>
          </w:p>
        </w:tc>
        <w:tc>
          <w:tcPr>
            <w:tcW w:w="1379"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93.10%</w:t>
            </w:r>
          </w:p>
        </w:tc>
      </w:tr>
    </w:tbl>
    <w:p>
      <w:pPr>
        <w:pStyle w:val="46"/>
        <w:spacing w:line="360" w:lineRule="auto"/>
        <w:ind w:firstLine="422"/>
        <w:jc w:val="center"/>
        <w:rPr>
          <w:rFonts w:hint="eastAsia" w:ascii="宋体" w:hAnsi="宋体" w:cs="宋体"/>
          <w:b/>
          <w:bCs/>
        </w:rPr>
      </w:pPr>
    </w:p>
    <w:p>
      <w:pPr>
        <w:bidi w:val="0"/>
        <w:rPr>
          <w:rFonts w:hint="eastAsia"/>
          <w:highlight w:val="none"/>
          <w:lang w:val="en-US" w:eastAsia="zh-CN"/>
        </w:rPr>
      </w:pPr>
      <w:r>
        <w:rPr>
          <w:rFonts w:hint="eastAsia"/>
          <w:highlight w:val="none"/>
          <w:lang w:val="en-US" w:eastAsia="zh-CN"/>
        </w:rPr>
        <w:t>2022届特殊群体毕业生共有57人通过签订就业协议和劳动合同方式就业，占全部特殊群体毕业生的53.77%，其中有3个院系的签订协议和劳动合同就业率超过60%，特殊群体毕业生实际就业人数多。特殊群体毕业生签订就业协议和劳动合同率占比分布如表：</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表：2022届特殊群体毕业生签订协议和劳动合同就业率</w:t>
      </w:r>
    </w:p>
    <w:tbl>
      <w:tblPr>
        <w:tblStyle w:val="17"/>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5"/>
        <w:gridCol w:w="1388"/>
        <w:gridCol w:w="13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院系名称</w:t>
            </w:r>
          </w:p>
        </w:tc>
        <w:tc>
          <w:tcPr>
            <w:tcW w:w="1388"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63" w:type="dxa"/>
            <w:gridSpan w:val="2"/>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签订协议和劳动合同就业率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88"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65"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人数</w:t>
            </w:r>
          </w:p>
        </w:tc>
        <w:tc>
          <w:tcPr>
            <w:tcW w:w="1398" w:type="dxa"/>
            <w:shd w:val="clear" w:color="auto" w:fill="548DD4"/>
            <w:noWrap w:val="0"/>
            <w:tcMar>
              <w:top w:w="8" w:type="dxa"/>
              <w:left w:w="8" w:type="dxa"/>
              <w:right w:w="8" w:type="dxa"/>
            </w:tcMar>
            <w:vAlign w:val="center"/>
          </w:tcPr>
          <w:p>
            <w:pPr>
              <w:pStyle w:val="38"/>
              <w:bidi w:val="0"/>
              <w:rPr>
                <w:rFonts w:hint="eastAsia"/>
                <w:b/>
                <w:bCs/>
                <w:color w:val="FFFFFF"/>
                <w:lang w:val="en-US" w:eastAsia="zh-CN"/>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戏曲学院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综合艺术学院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21</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16</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舞蹈学院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23</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戏剧学院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6</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新闻传媒学院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9</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音乐学院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14</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5</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8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lang w:val="en-US" w:eastAsia="zh-CN"/>
              </w:rPr>
            </w:pPr>
            <w:r>
              <w:rPr>
                <w:rFonts w:hint="default" w:ascii="宋体" w:hAnsi="宋体" w:eastAsia="宋体" w:cs="宋体"/>
                <w:kern w:val="2"/>
                <w:sz w:val="21"/>
                <w:szCs w:val="21"/>
                <w:lang w:val="en-US" w:eastAsia="zh-CN" w:bidi="ar-SA"/>
              </w:rPr>
              <w:t>美术学院</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29</w:t>
            </w:r>
          </w:p>
        </w:tc>
        <w:tc>
          <w:tcPr>
            <w:tcW w:w="136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10</w:t>
            </w:r>
          </w:p>
        </w:tc>
        <w:tc>
          <w:tcPr>
            <w:tcW w:w="139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lang w:val="en-US" w:eastAsia="zh-CN"/>
              </w:rPr>
            </w:pPr>
            <w:r>
              <w:rPr>
                <w:rFonts w:hint="eastAsia" w:ascii="宋体" w:hAnsi="宋体" w:eastAsia="宋体" w:cs="宋体"/>
                <w:kern w:val="2"/>
                <w:sz w:val="21"/>
                <w:szCs w:val="21"/>
                <w:lang w:val="en-US" w:eastAsia="zh-CN" w:bidi="ar-SA"/>
              </w:rPr>
              <w:t>34.48%</w:t>
            </w:r>
          </w:p>
        </w:tc>
      </w:tr>
    </w:tbl>
    <w:p>
      <w:pPr>
        <w:pStyle w:val="46"/>
        <w:spacing w:line="360" w:lineRule="auto"/>
        <w:ind w:firstLine="422"/>
        <w:jc w:val="center"/>
        <w:rPr>
          <w:rFonts w:hint="eastAsia" w:ascii="宋体" w:hAnsi="宋体" w:cs="宋体"/>
          <w:b/>
          <w:bCs/>
        </w:rPr>
      </w:pPr>
    </w:p>
    <w:p>
      <w:pPr>
        <w:bidi w:val="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2022届特殊群体毕业生有5人通过灵活就业方式就业，1人创业就业，两者共占全部特殊群体毕业生的5.66%。</w:t>
      </w:r>
      <w:bookmarkEnd w:id="71"/>
    </w:p>
    <w:p>
      <w:pPr>
        <w:pStyle w:val="2"/>
        <w:bidi w:val="0"/>
        <w:rPr>
          <w:rFonts w:hint="eastAsia"/>
        </w:rPr>
      </w:pPr>
      <w:bookmarkStart w:id="72" w:name="_Toc1152"/>
      <w:bookmarkStart w:id="73" w:name="_Toc8412"/>
      <w:bookmarkStart w:id="74" w:name="_Toc23809"/>
      <w:bookmarkStart w:id="75" w:name="_Toc16026"/>
      <w:bookmarkStart w:id="76" w:name="_Toc20764"/>
      <w:bookmarkStart w:id="77" w:name="_Toc9550"/>
      <w:bookmarkStart w:id="78" w:name="_Toc30633"/>
      <w:bookmarkStart w:id="79" w:name="_Toc13942"/>
      <w:r>
        <w:rPr>
          <w:rFonts w:hint="eastAsia"/>
          <w:lang w:val="en-US" w:eastAsia="zh-CN"/>
        </w:rPr>
        <w:t>第三部分 毕业生去向落实情况</w:t>
      </w:r>
      <w:r>
        <w:rPr>
          <w:rFonts w:hint="eastAsia"/>
        </w:rPr>
        <w:t>分析</w:t>
      </w:r>
      <w:bookmarkEnd w:id="72"/>
      <w:bookmarkEnd w:id="73"/>
      <w:bookmarkEnd w:id="74"/>
      <w:bookmarkEnd w:id="75"/>
    </w:p>
    <w:bookmarkEnd w:id="76"/>
    <w:bookmarkEnd w:id="77"/>
    <w:bookmarkEnd w:id="78"/>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80" w:name="_bookmark11"/>
      <w:bookmarkEnd w:id="80"/>
      <w:bookmarkStart w:id="81" w:name="（一）毕业去向分布"/>
      <w:bookmarkEnd w:id="81"/>
      <w:bookmarkStart w:id="82" w:name="_Toc28856"/>
      <w:bookmarkStart w:id="83" w:name="_Toc27749"/>
      <w:bookmarkStart w:id="84" w:name="_Toc11381"/>
      <w:bookmarkStart w:id="85" w:name="_Toc31075"/>
      <w:bookmarkStart w:id="86" w:name="_Toc7620"/>
      <w:bookmarkStart w:id="87" w:name="_Toc21175"/>
      <w:r>
        <w:rPr>
          <w:rFonts w:hint="eastAsia" w:ascii="宋体" w:hAnsi="宋体" w:cs="宋体"/>
          <w:b/>
          <w:bCs/>
          <w:sz w:val="28"/>
          <w:szCs w:val="28"/>
          <w:lang w:val="en-US" w:eastAsia="zh-CN"/>
        </w:rPr>
        <w:t>毕业去向分布</w:t>
      </w:r>
      <w:bookmarkEnd w:id="82"/>
      <w:bookmarkEnd w:id="83"/>
      <w:bookmarkEnd w:id="84"/>
      <w:bookmarkEnd w:id="85"/>
    </w:p>
    <w:p>
      <w:pPr>
        <w:bidi w:val="0"/>
        <w:jc w:val="left"/>
        <w:rPr>
          <w:rFonts w:hint="eastAsia"/>
          <w:lang w:val="en-US" w:eastAsia="zh-CN"/>
        </w:rPr>
      </w:pPr>
      <w:r>
        <w:rPr>
          <w:rFonts w:hint="eastAsia" w:ascii="Times New Roman" w:hAnsi="Times New Roman" w:eastAsia="宋体" w:cs="Times New Roman"/>
          <w:b w:val="0"/>
          <w:bCs w:val="0"/>
          <w:kern w:val="2"/>
          <w:sz w:val="24"/>
          <w:szCs w:val="22"/>
          <w:lang w:val="en-US" w:eastAsia="zh-CN" w:bidi="ar-SA"/>
        </w:rPr>
        <w:t>2022届</w:t>
      </w:r>
      <w:r>
        <w:rPr>
          <w:rFonts w:hint="eastAsia"/>
          <w:lang w:val="en-US" w:eastAsia="zh-CN"/>
        </w:rPr>
        <w:t>毕业生</w:t>
      </w:r>
      <w:r>
        <w:rPr>
          <w:rFonts w:hint="eastAsia" w:ascii="Times New Roman" w:hAnsi="Times New Roman" w:eastAsia="宋体" w:cs="Times New Roman"/>
          <w:b w:val="0"/>
          <w:bCs w:val="0"/>
          <w:kern w:val="2"/>
          <w:sz w:val="24"/>
          <w:szCs w:val="22"/>
          <w:lang w:val="en-US" w:eastAsia="zh-CN" w:bidi="ar-SA"/>
        </w:rPr>
        <w:t>总体去向如</w:t>
      </w:r>
      <w:r>
        <w:rPr>
          <w:rFonts w:hint="eastAsia" w:cs="Times New Roman"/>
          <w:b w:val="0"/>
          <w:bCs w:val="0"/>
          <w:kern w:val="2"/>
          <w:sz w:val="24"/>
          <w:szCs w:val="22"/>
          <w:lang w:val="en-US" w:eastAsia="zh-CN" w:bidi="ar-SA"/>
        </w:rPr>
        <w:t>下图所示</w:t>
      </w:r>
      <w:r>
        <w:rPr>
          <w:rFonts w:hint="eastAsia" w:ascii="Times New Roman" w:hAnsi="Times New Roman" w:eastAsia="宋体" w:cs="Times New Roman"/>
          <w:b w:val="0"/>
          <w:bCs w:val="0"/>
          <w:kern w:val="2"/>
          <w:sz w:val="24"/>
          <w:szCs w:val="22"/>
          <w:lang w:val="en-US" w:eastAsia="zh-CN" w:bidi="ar-SA"/>
        </w:rPr>
        <w:t>，主要去向是签就业协议形式就业624人，占比44.44%，其次是升学471人占比33.55%，然后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待就业102人占比7.26%</w:t>
      </w:r>
      <w:r>
        <w:rPr>
          <w:rFonts w:hint="eastAsia"/>
          <w:lang w:val="en-US" w:eastAsia="zh-CN"/>
        </w:rPr>
        <w:t>，实际工作毕业生人数多。另外有</w:t>
      </w:r>
      <w:r>
        <w:rPr>
          <w:rFonts w:hint="eastAsia" w:ascii="Times New Roman" w:hAnsi="Times New Roman" w:eastAsia="宋体" w:cs="Times New Roman"/>
          <w:b w:val="0"/>
          <w:bCs w:val="0"/>
          <w:kern w:val="2"/>
          <w:sz w:val="24"/>
          <w:szCs w:val="22"/>
          <w:lang w:val="en-US" w:eastAsia="zh-CN" w:bidi="ar-SA"/>
        </w:rPr>
        <w:t>42</w:t>
      </w:r>
      <w:r>
        <w:rPr>
          <w:rFonts w:hint="eastAsia"/>
          <w:lang w:val="en-US" w:eastAsia="zh-CN"/>
        </w:rPr>
        <w:t>名毕业生应征义务兵，</w:t>
      </w:r>
      <w:r>
        <w:rPr>
          <w:rFonts w:hint="eastAsia" w:ascii="Times New Roman" w:hAnsi="Times New Roman" w:eastAsia="宋体" w:cs="Times New Roman"/>
          <w:b w:val="0"/>
          <w:bCs w:val="0"/>
          <w:kern w:val="2"/>
          <w:sz w:val="24"/>
          <w:szCs w:val="22"/>
          <w:lang w:val="en-US" w:eastAsia="zh-CN" w:bidi="ar-SA"/>
        </w:rPr>
        <w:t>20</w:t>
      </w:r>
      <w:r>
        <w:rPr>
          <w:rFonts w:hint="eastAsia"/>
          <w:lang w:val="en-US" w:eastAsia="zh-CN"/>
        </w:rPr>
        <w:t>名毕业生创业成功，</w:t>
      </w:r>
      <w:r>
        <w:rPr>
          <w:rFonts w:hint="eastAsia" w:ascii="Times New Roman" w:hAnsi="Times New Roman" w:eastAsia="宋体" w:cs="Times New Roman"/>
          <w:b w:val="0"/>
          <w:bCs w:val="0"/>
          <w:kern w:val="2"/>
          <w:sz w:val="24"/>
          <w:szCs w:val="22"/>
          <w:lang w:val="en-US" w:eastAsia="zh-CN" w:bidi="ar-SA"/>
        </w:rPr>
        <w:t>7</w:t>
      </w:r>
      <w:r>
        <w:rPr>
          <w:rFonts w:hint="eastAsia"/>
          <w:lang w:val="en-US" w:eastAsia="zh-CN"/>
        </w:rPr>
        <w:t>名毕业生服务于国家和地方基层项目。</w:t>
      </w:r>
    </w:p>
    <w:p>
      <w:pPr>
        <w:pStyle w:val="16"/>
        <w:ind w:left="0" w:leftChars="0" w:firstLine="0" w:firstLineChars="0"/>
        <w:jc w:val="center"/>
        <w:rPr>
          <w:rFonts w:hint="eastAsia" w:ascii="宋体" w:hAnsi="宋体" w:eastAsia="宋体" w:cs="宋体"/>
          <w:b/>
          <w:bCs/>
          <w:sz w:val="21"/>
          <w:szCs w:val="21"/>
        </w:rPr>
      </w:pPr>
      <w:r>
        <w:rPr>
          <w:rFonts w:hint="eastAsia" w:eastAsia="宋体"/>
          <w:lang w:eastAsia="zh-CN"/>
        </w:rPr>
        <w:drawing>
          <wp:inline distT="0" distB="0" distL="114300" distR="114300">
            <wp:extent cx="5455920" cy="4376420"/>
            <wp:effectExtent l="0" t="0" r="1905" b="5080"/>
            <wp:docPr id="20" name="图表 20"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：2022届毕业生毕业</w:t>
      </w:r>
      <w:r>
        <w:rPr>
          <w:rFonts w:hint="eastAsia" w:ascii="宋体" w:hAnsi="宋体" w:eastAsia="宋体" w:cs="宋体"/>
          <w:kern w:val="2"/>
          <w:sz w:val="21"/>
          <w:szCs w:val="21"/>
          <w:lang w:val="en-US" w:eastAsia="zh-CN" w:bidi="ar-SA"/>
        </w:rPr>
        <w:t>总体去向人数分布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88" w:name="（二）单位行业分布[ ]"/>
      <w:bookmarkEnd w:id="88"/>
      <w:bookmarkStart w:id="89" w:name="_bookmark12"/>
      <w:bookmarkEnd w:id="89"/>
      <w:bookmarkStart w:id="90" w:name="_Toc19940"/>
      <w:bookmarkStart w:id="91" w:name="_Toc23150"/>
      <w:bookmarkStart w:id="92" w:name="_Toc28403"/>
      <w:bookmarkStart w:id="93" w:name="_Toc3593"/>
      <w:r>
        <w:rPr>
          <w:rFonts w:hint="eastAsia" w:ascii="宋体" w:hAnsi="宋体" w:cs="宋体"/>
          <w:b/>
          <w:bCs/>
          <w:sz w:val="28"/>
          <w:szCs w:val="28"/>
          <w:lang w:val="en-US" w:eastAsia="zh-CN"/>
        </w:rPr>
        <w:t>单位行业分布</w:t>
      </w:r>
      <w:bookmarkEnd w:id="90"/>
      <w:r>
        <w:rPr>
          <w:rStyle w:val="24"/>
          <w:rFonts w:hint="eastAsia" w:ascii="宋体" w:hAnsi="宋体" w:cs="宋体"/>
          <w:b/>
          <w:bCs/>
          <w:sz w:val="28"/>
          <w:szCs w:val="28"/>
          <w:lang w:val="en-US" w:eastAsia="zh-CN"/>
        </w:rPr>
        <w:footnoteReference w:id="5"/>
      </w:r>
      <w:bookmarkEnd w:id="91"/>
      <w:bookmarkEnd w:id="92"/>
      <w:bookmarkEnd w:id="93"/>
    </w:p>
    <w:p>
      <w:pPr>
        <w:bidi w:val="0"/>
        <w:rPr>
          <w:rFonts w:hint="eastAsia"/>
          <w:highlight w:val="yellow"/>
          <w:lang w:val="en-US" w:eastAsia="zh-CN"/>
        </w:rPr>
      </w:pPr>
      <w:r>
        <w:rPr>
          <w:rFonts w:hint="eastAsia"/>
          <w:lang w:val="en-US" w:eastAsia="zh-CN"/>
        </w:rPr>
        <w:t>2022届毕业生就业单位行业分布如</w:t>
      </w:r>
      <w:r>
        <w:rPr>
          <w:rFonts w:hint="eastAsia" w:cs="Times New Roman"/>
          <w:b w:val="0"/>
          <w:bCs w:val="0"/>
          <w:kern w:val="2"/>
          <w:sz w:val="24"/>
          <w:szCs w:val="22"/>
          <w:lang w:val="en-US" w:eastAsia="zh-CN" w:bidi="ar-SA"/>
        </w:rPr>
        <w:t>下图所示</w:t>
      </w:r>
      <w:r>
        <w:rPr>
          <w:rFonts w:hint="eastAsia"/>
          <w:lang w:val="en-US" w:eastAsia="zh-CN"/>
        </w:rPr>
        <w:t>，毕业生就业单位行业分布第一位的是</w:t>
      </w:r>
      <w:r>
        <w:rPr>
          <w:rFonts w:hint="eastAsia" w:ascii="Times New Roman" w:hAnsi="Times New Roman" w:eastAsia="宋体" w:cs="Times New Roman"/>
          <w:b w:val="0"/>
          <w:bCs w:val="0"/>
          <w:kern w:val="2"/>
          <w:sz w:val="24"/>
          <w:szCs w:val="22"/>
          <w:lang w:val="en-US" w:eastAsia="zh-CN" w:bidi="ar-SA"/>
        </w:rPr>
        <w:t>文化、体育和娱乐业175人，占比24.79%，其次是教育175人占比24.79%，然后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批发和零售业99人占比14.02%</w:t>
      </w:r>
      <w:r>
        <w:rPr>
          <w:rFonts w:hint="eastAsia"/>
          <w:highlight w:val="none"/>
          <w:lang w:val="en-US" w:eastAsia="zh-CN"/>
        </w:rPr>
        <w:t xml:space="preserve"> 。分析可见，毕业生就业单位行业分布呈现明显的特点，以</w:t>
      </w:r>
      <w:r>
        <w:rPr>
          <w:rFonts w:hint="eastAsia" w:ascii="Times New Roman" w:hAnsi="Times New Roman" w:eastAsia="宋体" w:cs="Times New Roman"/>
          <w:b w:val="0"/>
          <w:bCs w:val="0"/>
          <w:kern w:val="2"/>
          <w:sz w:val="24"/>
          <w:szCs w:val="22"/>
          <w:highlight w:val="none"/>
          <w:lang w:val="en-US" w:eastAsia="zh-CN" w:bidi="ar-SA"/>
        </w:rPr>
        <w:t>文化、体育和娱乐业</w:t>
      </w:r>
      <w:r>
        <w:rPr>
          <w:rFonts w:hint="eastAsia" w:ascii="Times New Roman" w:hAnsi="Times New Roman" w:cs="Times New Roman"/>
          <w:b w:val="0"/>
          <w:bCs w:val="0"/>
          <w:kern w:val="2"/>
          <w:sz w:val="24"/>
          <w:szCs w:val="22"/>
          <w:highlight w:val="none"/>
          <w:lang w:val="en-US" w:eastAsia="zh-CN" w:bidi="ar-SA"/>
        </w:rPr>
        <w:t>和</w:t>
      </w:r>
      <w:r>
        <w:rPr>
          <w:rFonts w:hint="eastAsia" w:ascii="Times New Roman" w:hAnsi="Times New Roman" w:eastAsia="宋体" w:cs="Times New Roman"/>
          <w:b w:val="0"/>
          <w:bCs w:val="0"/>
          <w:kern w:val="2"/>
          <w:sz w:val="24"/>
          <w:szCs w:val="22"/>
          <w:highlight w:val="none"/>
          <w:lang w:val="en-US" w:eastAsia="zh-CN" w:bidi="ar-SA"/>
        </w:rPr>
        <w:t>教育</w:t>
      </w:r>
      <w:r>
        <w:rPr>
          <w:rFonts w:hint="eastAsia"/>
          <w:highlight w:val="none"/>
          <w:lang w:val="en-US" w:eastAsia="zh-CN"/>
        </w:rPr>
        <w:t>为主，反映出学校的人才培养定位与社会经济发展相匹配。</w:t>
      </w:r>
    </w:p>
    <w:p>
      <w:pPr>
        <w:pStyle w:val="6"/>
        <w:ind w:left="0" w:leftChars="0" w:right="514" w:rightChars="214"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6577965"/>
            <wp:effectExtent l="0" t="0" r="1905" b="3810"/>
            <wp:docPr id="33" name="图表 33"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：2022届毕业生</w:t>
      </w:r>
      <w:r>
        <w:rPr>
          <w:rFonts w:hint="eastAsia" w:ascii="宋体" w:hAnsi="宋体" w:eastAsia="宋体" w:cs="宋体"/>
          <w:kern w:val="2"/>
          <w:sz w:val="21"/>
          <w:szCs w:val="21"/>
          <w:lang w:val="en-US" w:eastAsia="zh-CN" w:bidi="ar-SA"/>
        </w:rPr>
        <w:t>就业工作单位行业人数分布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94" w:name="（三）单位性质分布[ ]"/>
      <w:bookmarkEnd w:id="94"/>
      <w:bookmarkStart w:id="95" w:name="_bookmark15"/>
      <w:bookmarkEnd w:id="95"/>
      <w:bookmarkStart w:id="96" w:name="_Toc32610"/>
      <w:bookmarkStart w:id="97" w:name="_Toc27210"/>
      <w:bookmarkStart w:id="98" w:name="_Toc15016"/>
      <w:bookmarkStart w:id="99" w:name="_Toc15110"/>
      <w:r>
        <w:rPr>
          <w:rFonts w:hint="eastAsia" w:ascii="宋体" w:hAnsi="宋体" w:cs="宋体"/>
          <w:b/>
          <w:bCs/>
          <w:sz w:val="28"/>
          <w:szCs w:val="28"/>
          <w:lang w:val="en-US" w:eastAsia="zh-CN"/>
        </w:rPr>
        <w:t>单位性质分布</w:t>
      </w:r>
      <w:bookmarkEnd w:id="96"/>
      <w:r>
        <w:rPr>
          <w:rStyle w:val="24"/>
          <w:rFonts w:hint="eastAsia" w:ascii="宋体" w:hAnsi="宋体" w:cs="宋体"/>
          <w:b/>
          <w:bCs/>
          <w:sz w:val="28"/>
          <w:szCs w:val="28"/>
          <w:lang w:val="en-US" w:eastAsia="zh-CN"/>
        </w:rPr>
        <w:footnoteReference w:id="6"/>
      </w:r>
      <w:bookmarkEnd w:id="97"/>
      <w:bookmarkEnd w:id="98"/>
      <w:bookmarkEnd w:id="99"/>
    </w:p>
    <w:p>
      <w:pPr>
        <w:pStyle w:val="6"/>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2022届</w:t>
      </w:r>
      <w:r>
        <w:rPr>
          <w:rFonts w:hint="eastAsia" w:cs="Times New Roman"/>
          <w:lang w:val="en-US" w:eastAsia="zh-CN"/>
        </w:rPr>
        <w:t>毕业生</w:t>
      </w:r>
      <w:r>
        <w:rPr>
          <w:rFonts w:hint="eastAsia" w:ascii="Times New Roman" w:hAnsi="Times New Roman" w:cs="Times New Roman"/>
          <w:lang w:val="en-US" w:eastAsia="zh-CN"/>
        </w:rPr>
        <w:t>就业单位性质分布如</w:t>
      </w:r>
      <w:r>
        <w:rPr>
          <w:rFonts w:hint="eastAsia" w:cs="Times New Roman"/>
          <w:b w:val="0"/>
          <w:bCs w:val="0"/>
          <w:kern w:val="2"/>
          <w:sz w:val="24"/>
          <w:szCs w:val="22"/>
          <w:lang w:val="en-US" w:eastAsia="zh-CN" w:bidi="ar-SA"/>
        </w:rPr>
        <w:t>下图所示</w:t>
      </w:r>
      <w:r>
        <w:rPr>
          <w:rFonts w:hint="eastAsia" w:ascii="Times New Roman" w:hAnsi="Times New Roman" w:cs="Times New Roman"/>
          <w:lang w:val="en-US" w:eastAsia="zh-CN"/>
        </w:rPr>
        <w:t>，</w:t>
      </w:r>
      <w:r>
        <w:rPr>
          <w:rFonts w:hint="eastAsia" w:cs="Times New Roman"/>
          <w:lang w:val="en-US" w:eastAsia="zh-CN"/>
        </w:rPr>
        <w:t>毕业生</w:t>
      </w:r>
      <w:r>
        <w:rPr>
          <w:rFonts w:hint="eastAsia" w:ascii="Times New Roman" w:hAnsi="Times New Roman" w:cs="Times New Roman"/>
          <w:lang w:val="en-US" w:eastAsia="zh-CN"/>
        </w:rPr>
        <w:t>就业单位性质分布第一位的是其他企业660人占比93.48%，其次是国有企业14人占比1.98%，然后是其他事业单位9人占比1.27%。</w:t>
      </w:r>
    </w:p>
    <w:p>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eastAsia="宋体"/>
          <w:lang w:eastAsia="zh-CN"/>
        </w:rPr>
        <w:drawing>
          <wp:inline distT="0" distB="0" distL="114300" distR="114300">
            <wp:extent cx="5455920" cy="3910965"/>
            <wp:effectExtent l="0" t="0" r="1905" b="3810"/>
            <wp:docPr id="34" name="图表 34"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ascii="宋体" w:hAnsi="宋体" w:cs="宋体"/>
          <w:kern w:val="2"/>
          <w:sz w:val="21"/>
          <w:szCs w:val="21"/>
          <w:lang w:val="en-US" w:eastAsia="zh-CN" w:bidi="ar-SA"/>
        </w:rPr>
        <w:t>图：2022届毕业生</w:t>
      </w:r>
      <w:r>
        <w:rPr>
          <w:rFonts w:hint="eastAsia" w:ascii="宋体" w:hAnsi="宋体" w:eastAsia="宋体" w:cs="宋体"/>
          <w:kern w:val="2"/>
          <w:sz w:val="21"/>
          <w:szCs w:val="21"/>
          <w:lang w:val="en-US" w:eastAsia="zh-CN" w:bidi="ar-SA"/>
        </w:rPr>
        <w:t>就业单位性质人数分布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28"/>
          <w:szCs w:val="28"/>
          <w:lang w:val="en-US" w:eastAsia="zh-CN"/>
        </w:rPr>
      </w:pPr>
      <w:bookmarkStart w:id="100" w:name="_bookmark18"/>
      <w:bookmarkEnd w:id="100"/>
      <w:bookmarkStart w:id="101" w:name="（四）工作岗位分布[ ]"/>
      <w:bookmarkEnd w:id="101"/>
      <w:bookmarkStart w:id="102" w:name="_bookmark17"/>
      <w:bookmarkEnd w:id="102"/>
      <w:bookmarkStart w:id="103" w:name="_Toc17529"/>
      <w:bookmarkStart w:id="104" w:name="_Toc4601"/>
      <w:bookmarkStart w:id="105" w:name="_Toc2913"/>
      <w:bookmarkStart w:id="106" w:name="_Toc24101"/>
      <w:r>
        <w:rPr>
          <w:rFonts w:hint="eastAsia" w:ascii="宋体" w:hAnsi="宋体" w:cs="宋体"/>
          <w:b/>
          <w:bCs/>
          <w:sz w:val="28"/>
          <w:szCs w:val="28"/>
          <w:lang w:val="en-US" w:eastAsia="zh-CN"/>
        </w:rPr>
        <w:t>工作岗位分布</w:t>
      </w:r>
      <w:bookmarkEnd w:id="103"/>
      <w:r>
        <w:rPr>
          <w:rStyle w:val="24"/>
          <w:rFonts w:hint="eastAsia" w:ascii="宋体" w:hAnsi="宋体" w:cs="宋体"/>
          <w:b/>
          <w:bCs/>
          <w:sz w:val="28"/>
          <w:szCs w:val="28"/>
          <w:lang w:val="en-US" w:eastAsia="zh-CN"/>
        </w:rPr>
        <w:footnoteReference w:id="7"/>
      </w:r>
      <w:bookmarkEnd w:id="104"/>
      <w:bookmarkEnd w:id="105"/>
      <w:bookmarkEnd w:id="106"/>
    </w:p>
    <w:p>
      <w:pPr>
        <w:bidi w:val="0"/>
        <w:rPr>
          <w:rFonts w:hint="eastAsia"/>
          <w:lang w:val="en-US" w:eastAsia="zh-CN"/>
        </w:rPr>
      </w:pPr>
      <w:r>
        <w:rPr>
          <w:rFonts w:hint="eastAsia"/>
          <w:lang w:val="en-US" w:eastAsia="zh-CN"/>
        </w:rPr>
        <w:t>2022届毕业生工作岗位分布如</w:t>
      </w:r>
      <w:r>
        <w:rPr>
          <w:rFonts w:hint="eastAsia" w:cs="Times New Roman"/>
          <w:b w:val="0"/>
          <w:bCs w:val="0"/>
          <w:kern w:val="2"/>
          <w:sz w:val="24"/>
          <w:szCs w:val="22"/>
          <w:lang w:val="en-US" w:eastAsia="zh-CN" w:bidi="ar-SA"/>
        </w:rPr>
        <w:t>下图所示</w:t>
      </w:r>
      <w:r>
        <w:rPr>
          <w:rFonts w:hint="eastAsia"/>
          <w:lang w:val="en-US" w:eastAsia="zh-CN"/>
        </w:rPr>
        <w:t>，工作岗位分布中主要是其他人员279人占比39.52%，</w:t>
      </w:r>
      <w:r>
        <w:rPr>
          <w:rFonts w:hint="eastAsia" w:ascii="Times New Roman" w:hAnsi="Times New Roman" w:eastAsia="宋体" w:cs="Times New Roman"/>
          <w:b w:val="0"/>
          <w:bCs w:val="0"/>
          <w:kern w:val="2"/>
          <w:sz w:val="24"/>
          <w:szCs w:val="22"/>
          <w:lang w:val="en-US" w:eastAsia="zh-CN" w:bidi="ar-SA"/>
        </w:rPr>
        <w:t>其次是教学人员156人占比22.10%，然后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文学艺术工作人员99人占比14.02%</w:t>
      </w:r>
      <w:r>
        <w:rPr>
          <w:rFonts w:hint="eastAsia"/>
          <w:lang w:val="en-US" w:eastAsia="zh-CN"/>
        </w:rPr>
        <w:t>。这与毕业生单位行业分布是一致。</w:t>
      </w:r>
    </w:p>
    <w:p>
      <w:pPr>
        <w:bidi w:val="0"/>
        <w:ind w:left="0" w:leftChars="0" w:firstLine="0" w:firstLineChars="0"/>
        <w:jc w:val="center"/>
        <w:rPr>
          <w:rFonts w:hint="eastAsia"/>
          <w:lang w:val="en-US" w:eastAsia="zh-CN"/>
        </w:rPr>
      </w:pPr>
      <w:r>
        <w:rPr>
          <w:rFonts w:hint="eastAsia" w:eastAsia="宋体"/>
          <w:lang w:eastAsia="zh-CN"/>
        </w:rPr>
        <w:drawing>
          <wp:inline distT="0" distB="0" distL="114300" distR="114300">
            <wp:extent cx="5455920" cy="5467985"/>
            <wp:effectExtent l="0" t="0" r="1905" b="8890"/>
            <wp:docPr id="35" name="图表 35"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：2022届毕业生</w:t>
      </w:r>
      <w:r>
        <w:rPr>
          <w:rFonts w:hint="eastAsia" w:ascii="宋体" w:hAnsi="宋体" w:eastAsia="宋体" w:cs="宋体"/>
          <w:kern w:val="2"/>
          <w:sz w:val="21"/>
          <w:szCs w:val="21"/>
          <w:lang w:val="en-US" w:eastAsia="zh-CN" w:bidi="ar-SA"/>
        </w:rPr>
        <w:t>就业工作岗位人数分布</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ascii="宋体" w:hAnsi="宋体" w:cs="宋体"/>
          <w:b/>
          <w:bCs/>
          <w:sz w:val="32"/>
          <w:szCs w:val="32"/>
        </w:rPr>
      </w:pPr>
      <w:bookmarkStart w:id="107" w:name="_bookmark19"/>
      <w:bookmarkEnd w:id="107"/>
      <w:bookmarkStart w:id="108" w:name="_bookmark20"/>
      <w:bookmarkEnd w:id="108"/>
      <w:bookmarkStart w:id="109" w:name="（五）升学深造情况"/>
      <w:bookmarkEnd w:id="109"/>
      <w:bookmarkStart w:id="110" w:name="_Toc7582"/>
      <w:bookmarkStart w:id="111" w:name="_Toc20283"/>
      <w:bookmarkStart w:id="112" w:name="_Toc26899"/>
      <w:bookmarkStart w:id="113" w:name="_Toc22349"/>
      <w:r>
        <w:rPr>
          <w:rFonts w:hint="eastAsia" w:ascii="宋体" w:hAnsi="宋体" w:cs="宋体"/>
          <w:b/>
          <w:bCs/>
          <w:sz w:val="28"/>
          <w:szCs w:val="28"/>
          <w:lang w:val="en-US" w:eastAsia="zh-CN"/>
        </w:rPr>
        <w:t>就业地域流向分析</w:t>
      </w:r>
      <w:bookmarkEnd w:id="110"/>
      <w:bookmarkEnd w:id="111"/>
      <w:bookmarkEnd w:id="112"/>
      <w:bookmarkEnd w:id="113"/>
    </w:p>
    <w:p>
      <w:pPr>
        <w:bidi w:val="0"/>
        <w:jc w:val="left"/>
        <w:rPr>
          <w:rFonts w:hint="eastAsia"/>
          <w:lang w:val="en-US" w:eastAsia="zh-CN"/>
        </w:rPr>
      </w:pPr>
      <w:bookmarkStart w:id="114" w:name="_bookmark21"/>
      <w:bookmarkEnd w:id="114"/>
      <w:bookmarkStart w:id="115" w:name="（一）就业所在地区域类型[ ] "/>
      <w:bookmarkEnd w:id="115"/>
      <w:r>
        <w:rPr>
          <w:rFonts w:hint="eastAsia"/>
          <w:lang w:val="en-US" w:eastAsia="zh-CN"/>
        </w:rPr>
        <w:t>2022届毕业生</w:t>
      </w:r>
      <w:r>
        <w:rPr>
          <w:rFonts w:hint="eastAsia" w:ascii="宋体" w:hAnsi="宋体" w:cs="宋体"/>
          <w:sz w:val="24"/>
          <w:szCs w:val="24"/>
          <w:lang w:val="en-US" w:eastAsia="zh-CN"/>
        </w:rPr>
        <w:t>1404</w:t>
      </w:r>
      <w:r>
        <w:rPr>
          <w:rFonts w:hint="eastAsia"/>
          <w:lang w:val="en-US" w:eastAsia="zh-CN"/>
        </w:rPr>
        <w:t>人，毕业去向落实人数</w:t>
      </w:r>
      <w:r>
        <w:rPr>
          <w:rFonts w:hint="eastAsia" w:ascii="宋体" w:hAnsi="宋体" w:cs="宋体"/>
          <w:sz w:val="24"/>
          <w:szCs w:val="24"/>
          <w:lang w:val="en-US" w:eastAsia="zh-CN"/>
        </w:rPr>
        <w:t>1273</w:t>
      </w:r>
      <w:r>
        <w:rPr>
          <w:rFonts w:hint="eastAsia"/>
          <w:lang w:val="en-US" w:eastAsia="zh-CN"/>
        </w:rPr>
        <w:t>人，总体毕业去向落实率</w:t>
      </w:r>
      <w:r>
        <w:rPr>
          <w:rFonts w:hint="eastAsia" w:ascii="宋体" w:hAnsi="宋体" w:cs="宋体"/>
          <w:sz w:val="24"/>
          <w:szCs w:val="24"/>
          <w:lang w:val="en-US" w:eastAsia="zh-CN"/>
        </w:rPr>
        <w:t>90.67%</w:t>
      </w:r>
      <w:r>
        <w:rPr>
          <w:rFonts w:hint="eastAsia"/>
          <w:lang w:val="en-US" w:eastAsia="zh-CN"/>
        </w:rPr>
        <w:t>，实际就业人数</w:t>
      </w:r>
      <w:r>
        <w:rPr>
          <w:rStyle w:val="24"/>
          <w:rFonts w:hint="eastAsia" w:ascii="宋体" w:hAnsi="宋体" w:cs="宋体"/>
          <w:b/>
          <w:bCs/>
          <w:sz w:val="32"/>
          <w:szCs w:val="32"/>
        </w:rPr>
        <w:footnoteReference w:id="8"/>
      </w:r>
      <w:r>
        <w:rPr>
          <w:rFonts w:hint="eastAsia" w:ascii="宋体" w:hAnsi="宋体" w:cs="宋体"/>
          <w:sz w:val="24"/>
          <w:szCs w:val="24"/>
          <w:lang w:val="en-US" w:eastAsia="zh-CN"/>
        </w:rPr>
        <w:t>758</w:t>
      </w:r>
      <w:r>
        <w:rPr>
          <w:rFonts w:hint="eastAsia"/>
          <w:lang w:val="en-US" w:eastAsia="zh-CN"/>
        </w:rPr>
        <w:t>人。学校毕业生就业地区流向具有“立足安徽，面向长三角，辐射全国”的特征。</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就业所在地按区域统计</w:t>
      </w:r>
      <w:r>
        <w:rPr>
          <w:rStyle w:val="24"/>
          <w:rFonts w:hint="eastAsia" w:ascii="宋体" w:hAnsi="宋体" w:cs="宋体"/>
          <w:b/>
          <w:bCs/>
          <w:szCs w:val="28"/>
          <w:lang w:val="en-US" w:eastAsia="zh-CN"/>
        </w:rPr>
        <w:footnoteReference w:id="9"/>
      </w:r>
    </w:p>
    <w:p>
      <w:pPr>
        <w:pStyle w:val="6"/>
        <w:spacing w:before="5"/>
        <w:ind w:left="0" w:leftChars="0" w:firstLine="420" w:firstLineChars="0"/>
        <w:jc w:val="left"/>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2022届</w:t>
      </w:r>
      <w:r>
        <w:rPr>
          <w:rFonts w:hint="eastAsia" w:cs="Times New Roman"/>
          <w:kern w:val="2"/>
          <w:sz w:val="24"/>
          <w:szCs w:val="22"/>
          <w:lang w:val="en-US" w:eastAsia="zh-CN" w:bidi="ar-SA"/>
        </w:rPr>
        <w:t>毕业生</w:t>
      </w:r>
      <w:r>
        <w:rPr>
          <w:rFonts w:hint="eastAsia" w:ascii="Times New Roman" w:hAnsi="Times New Roman" w:eastAsia="宋体" w:cs="Times New Roman"/>
          <w:kern w:val="2"/>
          <w:sz w:val="24"/>
          <w:szCs w:val="22"/>
          <w:lang w:val="en-US" w:eastAsia="zh-CN" w:bidi="ar-SA"/>
        </w:rPr>
        <w:t>就业所在地按区域统计分布如</w:t>
      </w:r>
      <w:r>
        <w:rPr>
          <w:rFonts w:hint="eastAsia" w:cs="Times New Roman"/>
          <w:b w:val="0"/>
          <w:bCs w:val="0"/>
          <w:kern w:val="2"/>
          <w:sz w:val="24"/>
          <w:szCs w:val="22"/>
          <w:lang w:val="en-US" w:eastAsia="zh-CN" w:bidi="ar-SA"/>
        </w:rPr>
        <w:t>下图所示</w:t>
      </w:r>
      <w:r>
        <w:rPr>
          <w:rFonts w:hint="eastAsia" w:ascii="Times New Roman" w:hAnsi="Times New Roman" w:eastAsia="宋体" w:cs="Times New Roman"/>
          <w:kern w:val="2"/>
          <w:sz w:val="24"/>
          <w:szCs w:val="22"/>
          <w:lang w:val="en-US" w:eastAsia="zh-CN" w:bidi="ar-SA"/>
        </w:rPr>
        <w:t>，流向区域最多的是</w:t>
      </w:r>
      <w:r>
        <w:rPr>
          <w:rFonts w:hint="eastAsia" w:ascii="宋体" w:hAnsi="宋体" w:cs="宋体"/>
          <w:sz w:val="24"/>
          <w:szCs w:val="24"/>
          <w:lang w:val="en-US" w:eastAsia="zh-CN"/>
        </w:rPr>
        <w:t>华东地区</w:t>
      </w:r>
      <w:r>
        <w:rPr>
          <w:rFonts w:hint="eastAsia" w:ascii="Times New Roman" w:hAnsi="Times New Roman" w:eastAsia="宋体" w:cs="Times New Roman"/>
          <w:b w:val="0"/>
          <w:bCs w:val="0"/>
          <w:kern w:val="2"/>
          <w:sz w:val="24"/>
          <w:szCs w:val="22"/>
          <w:lang w:val="en-US" w:eastAsia="zh-CN" w:bidi="ar-SA"/>
        </w:rPr>
        <w:t>750人</w:t>
      </w:r>
      <w:r>
        <w:rPr>
          <w:rFonts w:hint="eastAsia" w:cs="Times New Roman"/>
          <w:kern w:val="2"/>
          <w:sz w:val="24"/>
          <w:szCs w:val="22"/>
          <w:lang w:val="en-US" w:eastAsia="zh-CN" w:bidi="ar-SA"/>
        </w:rPr>
        <w:t>占比</w:t>
      </w:r>
      <w:r>
        <w:rPr>
          <w:rFonts w:hint="eastAsia" w:ascii="宋体" w:hAnsi="宋体" w:cs="宋体"/>
          <w:sz w:val="24"/>
          <w:szCs w:val="24"/>
          <w:lang w:val="en-US" w:eastAsia="zh-CN"/>
        </w:rPr>
        <w:t>98.94%</w:t>
      </w:r>
      <w:r>
        <w:rPr>
          <w:rFonts w:hint="eastAsia" w:ascii="Times New Roman" w:hAnsi="Times New Roman" w:eastAsia="宋体" w:cs="Times New Roman"/>
          <w:kern w:val="2"/>
          <w:sz w:val="24"/>
          <w:szCs w:val="22"/>
          <w:lang w:val="en-US" w:eastAsia="zh-CN" w:bidi="ar-SA"/>
        </w:rPr>
        <w:t>，</w:t>
      </w:r>
      <w:r>
        <w:rPr>
          <w:rFonts w:hint="eastAsia" w:ascii="Times New Roman" w:hAnsi="Times New Roman" w:eastAsia="宋体" w:cs="Times New Roman"/>
          <w:b w:val="0"/>
          <w:bCs w:val="0"/>
          <w:kern w:val="2"/>
          <w:sz w:val="24"/>
          <w:szCs w:val="22"/>
          <w:lang w:val="en-US" w:eastAsia="zh-CN" w:bidi="ar-SA"/>
        </w:rPr>
        <w:t>其次是华中地区3人占比0.40%，然后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华北地区2人占比0.26%</w:t>
      </w:r>
      <w:r>
        <w:rPr>
          <w:rFonts w:hint="eastAsia"/>
          <w:lang w:val="en-US" w:eastAsia="zh-CN"/>
        </w:rPr>
        <w:t>。</w:t>
      </w:r>
    </w:p>
    <w:p>
      <w:pPr>
        <w:pStyle w:val="6"/>
        <w:spacing w:before="5"/>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511425"/>
            <wp:effectExtent l="0" t="0" r="7620" b="3175"/>
            <wp:docPr id="5" name="图表 5"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宋体" w:hAnsi="宋体" w:cs="宋体"/>
          <w:lang w:val="en-US" w:eastAsia="zh-CN"/>
        </w:rPr>
        <w:t xml:space="preserve">             </w:t>
      </w:r>
      <w:r>
        <w:rPr>
          <w:rFonts w:hint="eastAsia" w:ascii="宋体" w:hAnsi="宋体" w:eastAsia="宋体" w:cs="宋体"/>
          <w:kern w:val="2"/>
          <w:sz w:val="21"/>
          <w:szCs w:val="21"/>
          <w:lang w:val="en-US" w:eastAsia="zh-CN" w:bidi="ar-SA"/>
        </w:rPr>
        <w:t>图</w:t>
      </w:r>
      <w:r>
        <w:rPr>
          <w:rFonts w:hint="eastAsia" w:ascii="宋体" w:hAnsi="宋体" w:cs="宋体"/>
          <w:kern w:val="2"/>
          <w:sz w:val="21"/>
          <w:szCs w:val="21"/>
          <w:lang w:val="en-US" w:eastAsia="zh-CN" w:bidi="ar-SA"/>
        </w:rPr>
        <w:t>：2022届毕业生</w:t>
      </w:r>
      <w:r>
        <w:rPr>
          <w:rFonts w:hint="eastAsia" w:ascii="宋体" w:hAnsi="宋体" w:eastAsia="宋体" w:cs="宋体"/>
          <w:kern w:val="2"/>
          <w:sz w:val="21"/>
          <w:szCs w:val="21"/>
          <w:lang w:val="en-US" w:eastAsia="zh-CN" w:bidi="ar-SA"/>
        </w:rPr>
        <w:t>就业地区比例分布</w:t>
      </w:r>
    </w:p>
    <w:p>
      <w:pPr>
        <w:pStyle w:val="4"/>
        <w:numPr>
          <w:ilvl w:val="0"/>
          <w:numId w:val="5"/>
        </w:numPr>
        <w:bidi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就业所在地按省份统计</w:t>
      </w:r>
    </w:p>
    <w:p>
      <w:pPr>
        <w:bidi w:val="0"/>
        <w:rPr>
          <w:rFonts w:hint="eastAsia"/>
          <w:lang w:val="en-US" w:eastAsia="zh-CN"/>
        </w:rPr>
      </w:pPr>
      <w:r>
        <w:rPr>
          <w:rFonts w:hint="eastAsia"/>
          <w:lang w:val="en-US" w:eastAsia="zh-CN"/>
        </w:rPr>
        <w:t>2022届毕业生就业所在地按省份统计分布如</w:t>
      </w:r>
      <w:r>
        <w:rPr>
          <w:rFonts w:hint="eastAsia" w:cs="Times New Roman"/>
          <w:b w:val="0"/>
          <w:bCs w:val="0"/>
          <w:kern w:val="2"/>
          <w:sz w:val="24"/>
          <w:szCs w:val="22"/>
          <w:lang w:val="en-US" w:eastAsia="zh-CN" w:bidi="ar-SA"/>
        </w:rPr>
        <w:t>下图所示</w:t>
      </w:r>
      <w:r>
        <w:rPr>
          <w:rFonts w:hint="eastAsia"/>
          <w:lang w:val="en-US" w:eastAsia="zh-CN"/>
        </w:rPr>
        <w:t>，毕业生就业省份前三的是：</w:t>
      </w:r>
      <w:r>
        <w:rPr>
          <w:rFonts w:hint="eastAsia" w:ascii="Times New Roman" w:hAnsi="Times New Roman" w:eastAsia="宋体" w:cs="Times New Roman"/>
          <w:b w:val="0"/>
          <w:bCs w:val="0"/>
          <w:kern w:val="2"/>
          <w:sz w:val="24"/>
          <w:szCs w:val="22"/>
          <w:lang w:val="en-US" w:eastAsia="zh-CN" w:bidi="ar-SA"/>
        </w:rPr>
        <w:t>安徽省687人占比90.63%，其次是浙江省24人占比3.17%，然后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江苏省20人占比2.64%</w:t>
      </w:r>
      <w:r>
        <w:rPr>
          <w:rFonts w:hint="eastAsia"/>
          <w:lang w:val="en-US" w:eastAsia="zh-CN"/>
        </w:rPr>
        <w:t>。</w:t>
      </w:r>
    </w:p>
    <w:p>
      <w:pPr>
        <w:pStyle w:val="6"/>
        <w:spacing w:before="5"/>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411095"/>
            <wp:effectExtent l="0" t="0" r="7620" b="8255"/>
            <wp:docPr id="51" name="图表 51"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：2022届毕业生</w:t>
      </w:r>
      <w:r>
        <w:rPr>
          <w:rFonts w:hint="eastAsia" w:ascii="宋体" w:hAnsi="宋体" w:eastAsia="宋体" w:cs="宋体"/>
          <w:b w:val="0"/>
          <w:bCs w:val="0"/>
          <w:kern w:val="2"/>
          <w:sz w:val="21"/>
          <w:szCs w:val="21"/>
          <w:lang w:val="en-US" w:eastAsia="zh-CN" w:bidi="ar-SA"/>
        </w:rPr>
        <w:t>就业地区省份人数分布</w:t>
      </w:r>
    </w:p>
    <w:p>
      <w:pPr>
        <w:pStyle w:val="4"/>
        <w:numPr>
          <w:ilvl w:val="0"/>
          <w:numId w:val="5"/>
        </w:numPr>
        <w:bidi w:val="0"/>
        <w:rPr>
          <w:rFonts w:hint="eastAsia"/>
          <w:lang w:val="en-US" w:eastAsia="zh-CN"/>
        </w:rPr>
      </w:pPr>
      <w:bookmarkStart w:id="116" w:name="_Toc12572"/>
      <w:r>
        <w:rPr>
          <w:rFonts w:hint="eastAsia" w:ascii="楷体" w:hAnsi="楷体" w:eastAsia="楷体" w:cs="楷体"/>
          <w:sz w:val="28"/>
          <w:szCs w:val="28"/>
          <w:lang w:val="en-US" w:eastAsia="zh-CN"/>
        </w:rPr>
        <w:t>就业所在地按城市类型</w:t>
      </w:r>
      <w:r>
        <w:rPr>
          <w:rStyle w:val="24"/>
          <w:rFonts w:hint="eastAsia" w:ascii="宋体" w:hAnsi="宋体" w:cs="宋体"/>
          <w:b/>
          <w:bCs/>
          <w:szCs w:val="28"/>
          <w:lang w:val="en-US" w:eastAsia="zh-CN"/>
        </w:rPr>
        <w:footnoteReference w:id="10"/>
      </w:r>
      <w:r>
        <w:rPr>
          <w:rFonts w:hint="eastAsia" w:ascii="楷体" w:hAnsi="楷体" w:eastAsia="楷体" w:cs="楷体"/>
          <w:sz w:val="28"/>
          <w:szCs w:val="28"/>
          <w:lang w:val="en-US" w:eastAsia="zh-CN"/>
        </w:rPr>
        <w:t>统计</w:t>
      </w:r>
      <w:bookmarkEnd w:id="116"/>
    </w:p>
    <w:p>
      <w:pPr>
        <w:bidi w:val="0"/>
        <w:rPr>
          <w:rFonts w:hint="eastAsia" w:ascii="宋体" w:hAnsi="宋体" w:eastAsia="宋体" w:cs="宋体"/>
          <w:kern w:val="2"/>
          <w:sz w:val="21"/>
          <w:szCs w:val="21"/>
          <w:lang w:val="en-US" w:eastAsia="zh-CN" w:bidi="ar-SA"/>
        </w:rPr>
      </w:pPr>
      <w:r>
        <w:rPr>
          <w:rFonts w:hint="eastAsia"/>
          <w:lang w:val="en-US" w:eastAsia="zh-CN"/>
        </w:rPr>
        <w:t>2022届毕业生就业所在地按城市类型统计分布如</w:t>
      </w:r>
      <w:r>
        <w:rPr>
          <w:rFonts w:hint="eastAsia" w:cs="Times New Roman"/>
          <w:b w:val="0"/>
          <w:bCs w:val="0"/>
          <w:kern w:val="2"/>
          <w:sz w:val="24"/>
          <w:szCs w:val="22"/>
          <w:lang w:val="en-US" w:eastAsia="zh-CN" w:bidi="ar-SA"/>
        </w:rPr>
        <w:t>下图所示</w:t>
      </w:r>
      <w:r>
        <w:rPr>
          <w:rFonts w:hint="eastAsia"/>
          <w:lang w:val="en-US" w:eastAsia="zh-CN"/>
        </w:rPr>
        <w:t>，就业城市类型最多的是</w:t>
      </w:r>
      <w:r>
        <w:rPr>
          <w:rFonts w:hint="eastAsia" w:ascii="Times New Roman" w:hAnsi="Times New Roman" w:eastAsia="宋体" w:cs="Times New Roman"/>
          <w:b w:val="0"/>
          <w:bCs w:val="0"/>
          <w:kern w:val="2"/>
          <w:sz w:val="24"/>
          <w:szCs w:val="22"/>
          <w:lang w:val="en-US" w:eastAsia="zh-CN" w:bidi="ar-SA"/>
        </w:rPr>
        <w:t>省会城市364人占比48.02%，其次是地级市184人占比24.27%，然后</w:t>
      </w:r>
      <w:r>
        <w:rPr>
          <w:rFonts w:hint="eastAsia"/>
          <w:lang w:val="en-US" w:eastAsia="zh-CN"/>
        </w:rPr>
        <w:t>是</w:t>
      </w:r>
      <w:r>
        <w:rPr>
          <w:rFonts w:hint="eastAsia" w:ascii="Times New Roman" w:hAnsi="Times New Roman" w:eastAsia="宋体" w:cs="Times New Roman"/>
          <w:b w:val="0"/>
          <w:bCs w:val="0"/>
          <w:kern w:val="2"/>
          <w:sz w:val="24"/>
          <w:szCs w:val="22"/>
          <w:lang w:val="en-US" w:eastAsia="zh-CN" w:bidi="ar-SA"/>
        </w:rPr>
        <w:t>县142人占比18.73%</w:t>
      </w:r>
      <w:r>
        <w:rPr>
          <w:rFonts w:hint="eastAsia"/>
          <w:lang w:val="en-US" w:eastAsia="zh-CN"/>
        </w:rPr>
        <w:t>。</w:t>
      </w:r>
    </w:p>
    <w:p>
      <w:pPr>
        <w:pStyle w:val="6"/>
        <w:spacing w:before="5"/>
        <w:ind w:left="0" w:leftChars="0"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7620" b="8255"/>
            <wp:docPr id="37" name="图表 37"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：2022届毕业生</w:t>
      </w:r>
      <w:r>
        <w:rPr>
          <w:rFonts w:hint="eastAsia" w:ascii="宋体" w:hAnsi="宋体" w:eastAsia="宋体" w:cs="宋体"/>
          <w:b w:val="0"/>
          <w:bCs w:val="0"/>
          <w:kern w:val="2"/>
          <w:sz w:val="21"/>
          <w:szCs w:val="21"/>
          <w:lang w:val="en-US" w:eastAsia="zh-CN" w:bidi="ar-SA"/>
        </w:rPr>
        <w:t>就业地区城市类型人数分布</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"http://ahut.ahbys.com/Console/DataView/DataView2_8_8.aspx" \h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按城市地理位置</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统计</w:t>
      </w:r>
      <w:r>
        <w:rPr>
          <w:rFonts w:hint="eastAsia"/>
          <w:lang w:val="en-US" w:eastAsia="zh-CN"/>
        </w:rPr>
        <w:tab/>
      </w:r>
    </w:p>
    <w:p>
      <w:pPr>
        <w:bidi w:val="0"/>
        <w:rPr>
          <w:rFonts w:hint="eastAsia"/>
          <w:lang w:val="en-US" w:eastAsia="zh-CN"/>
        </w:rPr>
      </w:pPr>
      <w:r>
        <w:rPr>
          <w:rFonts w:hint="eastAsia"/>
          <w:lang w:val="en-US" w:eastAsia="zh-CN"/>
        </w:rPr>
        <w:t>2022届毕业生就业所在地按地理位置统计分布如</w:t>
      </w:r>
      <w:r>
        <w:rPr>
          <w:rFonts w:hint="eastAsia" w:cs="Times New Roman"/>
          <w:b w:val="0"/>
          <w:bCs w:val="0"/>
          <w:kern w:val="2"/>
          <w:sz w:val="24"/>
          <w:szCs w:val="22"/>
          <w:lang w:val="en-US" w:eastAsia="zh-CN" w:bidi="ar-SA"/>
        </w:rPr>
        <w:t>下图所示</w:t>
      </w:r>
      <w:r>
        <w:rPr>
          <w:rFonts w:hint="eastAsia"/>
          <w:lang w:val="en-US" w:eastAsia="zh-CN"/>
        </w:rPr>
        <w:t>，就业地所在地理位置最多的是安徽省687人占比90.63%，其次是江浙沪58人占比7.65%，然后是环渤海经济圈4人占比0.53%。毕业生更倾向于服务五大发展美好安徽建设。</w:t>
      </w:r>
    </w:p>
    <w:p>
      <w:pPr>
        <w:bidi w:val="0"/>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7620" b="8255"/>
            <wp:docPr id="38" name="图表 38"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：2022届毕业生</w:t>
      </w:r>
      <w:r>
        <w:rPr>
          <w:rFonts w:hint="eastAsia" w:ascii="宋体" w:hAnsi="宋体" w:eastAsia="宋体" w:cs="宋体"/>
          <w:b w:val="0"/>
          <w:bCs w:val="0"/>
          <w:kern w:val="2"/>
          <w:sz w:val="21"/>
          <w:szCs w:val="21"/>
          <w:lang w:val="en-US" w:eastAsia="zh-CN" w:bidi="ar-SA"/>
        </w:rPr>
        <w:t>就业地区城市地理位置分布</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"http://ahut.ahbys.com/Console/DataView/DataView2_8_8.aspx" \h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按城市规模</w:t>
      </w:r>
      <w:r>
        <w:rPr>
          <w:rFonts w:hint="eastAsia" w:ascii="楷体" w:hAnsi="楷体" w:eastAsia="楷体" w:cs="楷体"/>
          <w:sz w:val="28"/>
          <w:szCs w:val="28"/>
          <w:lang w:val="en-US" w:eastAsia="zh-CN"/>
        </w:rPr>
        <w:fldChar w:fldCharType="end"/>
      </w:r>
      <w:r>
        <w:rPr>
          <w:rStyle w:val="24"/>
          <w:rFonts w:hint="eastAsia"/>
          <w:lang w:val="en-US" w:eastAsia="zh-CN"/>
        </w:rPr>
        <w:footnoteReference w:id="11"/>
      </w:r>
      <w:r>
        <w:rPr>
          <w:rFonts w:hint="eastAsia" w:ascii="楷体" w:hAnsi="楷体" w:eastAsia="楷体" w:cs="楷体"/>
          <w:sz w:val="28"/>
          <w:szCs w:val="28"/>
          <w:lang w:val="en-US" w:eastAsia="zh-CN"/>
        </w:rPr>
        <w:t>统计</w:t>
      </w:r>
      <w:r>
        <w:rPr>
          <w:rFonts w:hint="eastAsia" w:ascii="楷体" w:hAnsi="楷体" w:eastAsia="楷体" w:cs="楷体"/>
          <w:sz w:val="28"/>
          <w:szCs w:val="28"/>
          <w:lang w:val="en-US" w:eastAsia="zh-CN"/>
        </w:rPr>
        <w:tab/>
      </w:r>
    </w:p>
    <w:p>
      <w:pPr>
        <w:bidi w:val="0"/>
        <w:rPr>
          <w:rFonts w:hint="eastAsia"/>
          <w:highlight w:val="none"/>
          <w:lang w:val="en-US" w:eastAsia="zh-CN"/>
        </w:rPr>
      </w:pPr>
      <w:r>
        <w:rPr>
          <w:rFonts w:hint="eastAsia"/>
          <w:highlight w:val="none"/>
          <w:lang w:val="en-US" w:eastAsia="zh-CN"/>
        </w:rPr>
        <w:t>2022届毕业生实际就业所在地按城市规模统计分布如</w:t>
      </w:r>
      <w:r>
        <w:rPr>
          <w:rFonts w:hint="eastAsia" w:cs="Times New Roman"/>
          <w:b w:val="0"/>
          <w:bCs w:val="0"/>
          <w:kern w:val="2"/>
          <w:sz w:val="24"/>
          <w:szCs w:val="22"/>
          <w:lang w:val="en-US" w:eastAsia="zh-CN" w:bidi="ar-SA"/>
        </w:rPr>
        <w:t>下图所示</w:t>
      </w:r>
      <w:r>
        <w:rPr>
          <w:rFonts w:hint="eastAsia"/>
          <w:highlight w:val="none"/>
          <w:lang w:val="en-US" w:eastAsia="zh-CN"/>
        </w:rPr>
        <w:t>。就业地所在城市规模最多的是</w:t>
      </w:r>
      <w:r>
        <w:rPr>
          <w:rFonts w:hint="eastAsia" w:ascii="Times New Roman" w:hAnsi="Times New Roman" w:eastAsia="宋体" w:cs="Times New Roman"/>
          <w:b w:val="0"/>
          <w:bCs w:val="0"/>
          <w:kern w:val="2"/>
          <w:sz w:val="24"/>
          <w:szCs w:val="22"/>
          <w:highlight w:val="none"/>
          <w:lang w:val="en-US" w:eastAsia="zh-CN" w:bidi="ar-SA"/>
        </w:rPr>
        <w:t>新一线城市415人占比54.75%，其次是三线城市221人占比29.16%，然后</w:t>
      </w:r>
      <w:r>
        <w:rPr>
          <w:rFonts w:hint="eastAsia"/>
          <w:highlight w:val="none"/>
          <w:lang w:val="en-US" w:eastAsia="zh-CN"/>
        </w:rPr>
        <w:t>是</w:t>
      </w:r>
      <w:r>
        <w:rPr>
          <w:rFonts w:hint="eastAsia" w:ascii="Times New Roman" w:hAnsi="Times New Roman" w:eastAsia="宋体" w:cs="Times New Roman"/>
          <w:b w:val="0"/>
          <w:bCs w:val="0"/>
          <w:kern w:val="2"/>
          <w:sz w:val="24"/>
          <w:szCs w:val="22"/>
          <w:highlight w:val="none"/>
          <w:lang w:val="en-US" w:eastAsia="zh-CN" w:bidi="ar-SA"/>
        </w:rPr>
        <w:t>四线城市81人占比10.69%</w:t>
      </w:r>
      <w:r>
        <w:rPr>
          <w:rFonts w:hint="eastAsia"/>
          <w:highlight w:val="none"/>
          <w:lang w:val="en-US" w:eastAsia="zh-CN"/>
        </w:rPr>
        <w:t>。</w:t>
      </w:r>
    </w:p>
    <w:p>
      <w:pPr>
        <w:pStyle w:val="6"/>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7620" b="8255"/>
            <wp:docPr id="50" name="图表 50"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：2022届毕业生</w:t>
      </w:r>
      <w:r>
        <w:rPr>
          <w:rFonts w:hint="eastAsia" w:ascii="宋体" w:hAnsi="宋体" w:eastAsia="宋体" w:cs="宋体"/>
          <w:b w:val="0"/>
          <w:bCs w:val="0"/>
          <w:kern w:val="2"/>
          <w:sz w:val="21"/>
          <w:szCs w:val="21"/>
          <w:lang w:val="en-US" w:eastAsia="zh-CN" w:bidi="ar-SA"/>
        </w:rPr>
        <w:t>就业地区城市规模人数分布</w:t>
      </w:r>
    </w:p>
    <w:p>
      <w:pPr>
        <w:pStyle w:val="4"/>
        <w:numPr>
          <w:ilvl w:val="0"/>
          <w:numId w:val="5"/>
        </w:numPr>
        <w:bidi w:val="0"/>
        <w:rPr>
          <w:rFonts w:hint="eastAsia"/>
          <w:lang w:val="en-US" w:eastAsia="zh-CN"/>
        </w:rPr>
      </w:pPr>
      <w:r>
        <w:rPr>
          <w:rFonts w:hint="eastAsia" w:ascii="楷体" w:hAnsi="楷体" w:eastAsia="楷体" w:cs="楷体"/>
          <w:sz w:val="28"/>
          <w:szCs w:val="28"/>
          <w:lang w:val="en-US" w:eastAsia="zh-CN"/>
        </w:rPr>
        <w:t>就业所在地</w:t>
      </w:r>
      <w:r>
        <w:rPr>
          <w:rFonts w:hint="eastAsia" w:ascii="楷体" w:hAnsi="楷体" w:eastAsia="楷体" w:cs="楷体"/>
          <w:sz w:val="28"/>
          <w:szCs w:val="28"/>
          <w:lang w:val="en-US" w:eastAsia="zh-CN"/>
        </w:rPr>
        <w:fldChar w:fldCharType="begin"/>
      </w:r>
      <w:r>
        <w:rPr>
          <w:rFonts w:hint="eastAsia" w:ascii="楷体" w:hAnsi="楷体" w:eastAsia="楷体" w:cs="楷体"/>
          <w:sz w:val="28"/>
          <w:szCs w:val="28"/>
          <w:lang w:val="en-US" w:eastAsia="zh-CN"/>
        </w:rPr>
        <w:instrText xml:space="preserve"> HYPERLINK "http://ahut.ahbys.com/Console/DataView/DataView2_8_8.aspx" \h </w:instrText>
      </w:r>
      <w:r>
        <w:rPr>
          <w:rFonts w:hint="eastAsia" w:ascii="楷体" w:hAnsi="楷体" w:eastAsia="楷体" w:cs="楷体"/>
          <w:sz w:val="28"/>
          <w:szCs w:val="28"/>
          <w:lang w:val="en-US" w:eastAsia="zh-CN"/>
        </w:rPr>
        <w:fldChar w:fldCharType="separate"/>
      </w:r>
      <w:r>
        <w:rPr>
          <w:rFonts w:hint="eastAsia" w:ascii="楷体" w:hAnsi="楷体" w:eastAsia="楷体" w:cs="楷体"/>
          <w:sz w:val="28"/>
          <w:szCs w:val="28"/>
          <w:lang w:val="en-US" w:eastAsia="zh-CN"/>
        </w:rPr>
        <w:t>按城市</w:t>
      </w:r>
      <w:r>
        <w:rPr>
          <w:rFonts w:hint="eastAsia" w:ascii="楷体" w:hAnsi="楷体" w:eastAsia="楷体" w:cs="楷体"/>
          <w:sz w:val="28"/>
          <w:szCs w:val="28"/>
          <w:lang w:val="en-US" w:eastAsia="zh-CN"/>
        </w:rPr>
        <w:fldChar w:fldCharType="end"/>
      </w:r>
      <w:r>
        <w:rPr>
          <w:rFonts w:hint="eastAsia" w:ascii="楷体" w:hAnsi="楷体" w:eastAsia="楷体" w:cs="楷体"/>
          <w:sz w:val="28"/>
          <w:szCs w:val="28"/>
          <w:lang w:val="en-US" w:eastAsia="zh-CN"/>
        </w:rPr>
        <w:t>统计</w:t>
      </w:r>
      <w:r>
        <w:rPr>
          <w:rFonts w:hint="eastAsia" w:ascii="楷体" w:hAnsi="楷体" w:eastAsia="楷体" w:cs="楷体"/>
          <w:sz w:val="28"/>
          <w:szCs w:val="28"/>
          <w:lang w:val="en-US" w:eastAsia="zh-CN"/>
        </w:rPr>
        <w:tab/>
      </w:r>
    </w:p>
    <w:p>
      <w:pPr>
        <w:bidi w:val="0"/>
        <w:jc w:val="left"/>
        <w:rPr>
          <w:rFonts w:hint="eastAsia"/>
          <w:lang w:val="en-US" w:eastAsia="zh-CN"/>
        </w:rPr>
      </w:pPr>
      <w:r>
        <w:rPr>
          <w:rFonts w:hint="eastAsia"/>
          <w:lang w:val="en-US" w:eastAsia="zh-CN"/>
        </w:rPr>
        <w:t>2022届毕业生实际</w:t>
      </w:r>
      <w:r>
        <w:rPr>
          <w:rFonts w:hint="eastAsia" w:ascii="宋体" w:hAnsi="宋体" w:cs="宋体"/>
          <w:sz w:val="24"/>
          <w:szCs w:val="24"/>
          <w:lang w:val="en-US" w:eastAsia="zh-CN"/>
        </w:rPr>
        <w:t>就业人数758人，分布在全国12个省份41个城市，其中687人工作在安徽的16个城市的90个区市县。就业地所在城市人数最高的是安徽省合肥市389人占比51.32%，然后是安徽省阜阳市69人和安徽省宿州市33</w:t>
      </w:r>
      <w:r>
        <w:rPr>
          <w:rFonts w:hint="eastAsia"/>
          <w:lang w:val="en-US" w:eastAsia="zh-CN"/>
        </w:rPr>
        <w:t>人，分别占比</w:t>
      </w:r>
      <w:r>
        <w:rPr>
          <w:rFonts w:hint="eastAsia" w:ascii="宋体" w:hAnsi="宋体" w:cs="宋体"/>
          <w:sz w:val="24"/>
          <w:szCs w:val="24"/>
          <w:lang w:val="en-US" w:eastAsia="zh-CN"/>
        </w:rPr>
        <w:t>9.10%和4.35%</w:t>
      </w:r>
      <w:r>
        <w:rPr>
          <w:rFonts w:hint="eastAsia"/>
          <w:lang w:val="en-US" w:eastAsia="zh-CN"/>
        </w:rPr>
        <w:t>，详见表：</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lang w:val="en-US" w:eastAsia="zh-CN"/>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：2022届毕业生就业城市分布表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1"/>
        <w:gridCol w:w="1952"/>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537"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城市名称</w:t>
            </w:r>
          </w:p>
        </w:tc>
        <w:tc>
          <w:tcPr>
            <w:tcW w:w="1133" w:type="pc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29" w:type="pct"/>
            <w:shd w:val="clear" w:color="auto" w:fill="548DD4"/>
            <w:noWrap w:val="0"/>
            <w:tcMar>
              <w:top w:w="8" w:type="dxa"/>
              <w:left w:w="8" w:type="dxa"/>
              <w:right w:w="8" w:type="dxa"/>
            </w:tcMar>
            <w:vAlign w:val="center"/>
          </w:tcPr>
          <w:p>
            <w:pPr>
              <w:pStyle w:val="38"/>
              <w:bidi w:val="0"/>
              <w:rPr>
                <w:rFonts w:hint="default"/>
                <w:b/>
                <w:bCs/>
                <w:color w:val="FFFFFF"/>
                <w:lang w:val="en-US"/>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安徽省合肥市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389</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安徽省阜阳市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69</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安徽省宿州市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安徽省六安市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安徽省芜湖市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26</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安徽省淮北市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安徽省亳州市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安徽省安庆市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安徽省马鞍山市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上海市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安徽省蚌埠市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安徽省滁州市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安徽省池州市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安徽省宣城市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江苏省南京市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安徽省淮南市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浙江省杭州市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安徽省铜陵市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江苏省苏州市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浙江省嘉兴市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浙江省宁波市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江苏省无锡市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江苏省常州市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浙江省台州市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安徽省黄山市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浙江省温州市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山东省青岛市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广东省广州市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北京市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山西省晋城市</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371" w:type="dxa"/>
            <w:noWrap w:val="0"/>
            <w:tcMar>
              <w:top w:w="8" w:type="dxa"/>
              <w:left w:w="8" w:type="dxa"/>
              <w:right w:w="8" w:type="dxa"/>
            </w:tcMar>
            <w:vAlign w:val="center"/>
          </w:tcPr>
          <w:p>
            <w:pPr>
              <w:pStyle w:val="38"/>
              <w:bidi w:val="0"/>
              <w:ind w:firstLine="0" w:firstLineChars="0"/>
              <w:rPr>
                <w:rFonts w:hint="eastAsia"/>
              </w:rPr>
            </w:pPr>
            <w:r>
              <w:rPr>
                <w:rFonts w:hint="default"/>
                <w:lang w:val="en-US" w:eastAsia="zh-CN"/>
              </w:rPr>
              <w:t>其它合计</w:t>
            </w:r>
          </w:p>
        </w:tc>
        <w:tc>
          <w:tcPr>
            <w:tcW w:w="1952"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229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1.45%</w:t>
            </w:r>
          </w:p>
        </w:tc>
      </w:tr>
    </w:tbl>
    <w:p>
      <w:pPr>
        <w:bidi w:val="0"/>
        <w:jc w:val="left"/>
        <w:rPr>
          <w:rFonts w:hint="default"/>
          <w:lang w:val="en-US" w:eastAsia="zh-CN"/>
        </w:rPr>
      </w:pP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17" w:name="（二）回原籍就业情况分析"/>
      <w:bookmarkEnd w:id="117"/>
      <w:bookmarkStart w:id="118" w:name="_bookmark27"/>
      <w:bookmarkEnd w:id="118"/>
      <w:bookmarkStart w:id="119" w:name="_Toc15894"/>
      <w:bookmarkStart w:id="120" w:name="_Toc30133"/>
      <w:r>
        <w:rPr>
          <w:rFonts w:hint="eastAsia" w:ascii="宋体" w:hAnsi="宋体" w:cs="宋体"/>
          <w:b/>
          <w:bCs/>
          <w:sz w:val="28"/>
          <w:szCs w:val="28"/>
          <w:lang w:val="en-US" w:eastAsia="zh-CN"/>
        </w:rPr>
        <w:t>毕业生</w:t>
      </w:r>
      <w:r>
        <w:rPr>
          <w:rFonts w:hint="eastAsia"/>
          <w:lang w:val="en-US" w:eastAsia="zh-CN"/>
        </w:rPr>
        <w:t>留皖就业情况</w:t>
      </w:r>
      <w:bookmarkEnd w:id="119"/>
      <w:bookmarkEnd w:id="120"/>
    </w:p>
    <w:p>
      <w:pPr>
        <w:bidi w:val="0"/>
        <w:jc w:val="left"/>
        <w:rPr>
          <w:rFonts w:hint="default"/>
          <w:lang w:val="en-US" w:eastAsia="zh-CN"/>
        </w:rPr>
      </w:pPr>
      <w:r>
        <w:rPr>
          <w:rFonts w:hint="eastAsia"/>
          <w:lang w:val="en-US" w:eastAsia="zh-CN"/>
        </w:rPr>
        <w:t>2022届毕业生在</w:t>
      </w:r>
      <w:r>
        <w:rPr>
          <w:rFonts w:hint="eastAsia" w:ascii="宋体" w:hAnsi="宋体" w:cs="宋体"/>
          <w:sz w:val="24"/>
          <w:szCs w:val="24"/>
          <w:lang w:val="en-US" w:eastAsia="zh-CN"/>
        </w:rPr>
        <w:t>安徽省内实际就业人数687</w:t>
      </w:r>
      <w:r>
        <w:rPr>
          <w:rFonts w:hint="eastAsia"/>
          <w:lang w:val="en-US" w:eastAsia="zh-CN"/>
        </w:rPr>
        <w:t>人，占实际就业毕业生的</w:t>
      </w:r>
      <w:r>
        <w:rPr>
          <w:rFonts w:hint="eastAsia" w:ascii="宋体" w:hAnsi="宋体" w:cs="宋体"/>
          <w:sz w:val="24"/>
          <w:szCs w:val="24"/>
          <w:lang w:val="en-US" w:eastAsia="zh-CN"/>
        </w:rPr>
        <w:t>90.63%</w:t>
      </w:r>
      <w:r>
        <w:rPr>
          <w:rFonts w:hint="eastAsia"/>
          <w:lang w:val="en-US" w:eastAsia="zh-CN"/>
        </w:rPr>
        <w:t>，其中在省内就业人数最高的城市是</w:t>
      </w:r>
      <w:r>
        <w:rPr>
          <w:rFonts w:hint="eastAsia" w:ascii="宋体" w:hAnsi="宋体" w:cs="宋体"/>
          <w:sz w:val="24"/>
          <w:szCs w:val="24"/>
          <w:lang w:val="en-US" w:eastAsia="zh-CN"/>
        </w:rPr>
        <w:t>安徽省合肥市389</w:t>
      </w:r>
      <w:r>
        <w:rPr>
          <w:rFonts w:hint="eastAsia"/>
          <w:lang w:val="en-US" w:eastAsia="zh-CN"/>
        </w:rPr>
        <w:t>人占比</w:t>
      </w:r>
      <w:r>
        <w:rPr>
          <w:rFonts w:hint="eastAsia" w:ascii="宋体" w:hAnsi="宋体" w:cs="宋体"/>
          <w:sz w:val="24"/>
          <w:szCs w:val="24"/>
          <w:lang w:val="en-US" w:eastAsia="zh-CN"/>
        </w:rPr>
        <w:t>56.62%</w:t>
      </w:r>
      <w:r>
        <w:rPr>
          <w:rFonts w:hint="eastAsia"/>
          <w:lang w:val="en-US" w:eastAsia="zh-CN"/>
        </w:rPr>
        <w:t>，然后是</w:t>
      </w:r>
      <w:r>
        <w:rPr>
          <w:rFonts w:hint="eastAsia" w:ascii="宋体" w:hAnsi="宋体" w:cs="宋体"/>
          <w:sz w:val="24"/>
          <w:szCs w:val="24"/>
          <w:lang w:val="en-US" w:eastAsia="zh-CN"/>
        </w:rPr>
        <w:t>安徽省阜阳市69</w:t>
      </w:r>
      <w:r>
        <w:rPr>
          <w:rFonts w:hint="eastAsia"/>
          <w:lang w:val="en-US" w:eastAsia="zh-CN"/>
        </w:rPr>
        <w:t>人和</w:t>
      </w:r>
      <w:r>
        <w:rPr>
          <w:rFonts w:hint="eastAsia" w:ascii="宋体" w:hAnsi="宋体" w:cs="宋体"/>
          <w:sz w:val="24"/>
          <w:szCs w:val="24"/>
          <w:lang w:val="en-US" w:eastAsia="zh-CN"/>
        </w:rPr>
        <w:t>安徽省宿州市33</w:t>
      </w:r>
      <w:r>
        <w:rPr>
          <w:rFonts w:hint="eastAsia"/>
          <w:lang w:val="en-US" w:eastAsia="zh-CN"/>
        </w:rPr>
        <w:t>人，分别占比</w:t>
      </w:r>
      <w:r>
        <w:rPr>
          <w:rFonts w:hint="eastAsia" w:ascii="宋体" w:hAnsi="宋体" w:cs="宋体"/>
          <w:sz w:val="24"/>
          <w:szCs w:val="24"/>
          <w:lang w:val="en-US" w:eastAsia="zh-CN"/>
        </w:rPr>
        <w:t>10.04%和4.80%</w:t>
      </w:r>
      <w:r>
        <w:rPr>
          <w:rFonts w:hint="eastAsia"/>
          <w:lang w:val="en-US" w:eastAsia="zh-CN"/>
        </w:rPr>
        <w:t>，如</w:t>
      </w:r>
      <w:r>
        <w:rPr>
          <w:rFonts w:hint="eastAsia" w:cs="Times New Roman"/>
          <w:b w:val="0"/>
          <w:bCs w:val="0"/>
          <w:kern w:val="2"/>
          <w:sz w:val="24"/>
          <w:szCs w:val="22"/>
          <w:lang w:val="en-US" w:eastAsia="zh-CN" w:bidi="ar-SA"/>
        </w:rPr>
        <w:t>下图所示：</w:t>
      </w:r>
    </w:p>
    <w:p>
      <w:pPr>
        <w:bidi w:val="0"/>
        <w:ind w:left="0" w:leftChars="0" w:firstLine="0" w:firstLineChars="0"/>
        <w:jc w:val="center"/>
        <w:rPr>
          <w:rFonts w:hint="eastAsia"/>
          <w:lang w:val="en-US" w:eastAsia="zh-CN"/>
        </w:rPr>
      </w:pPr>
      <w:r>
        <w:rPr>
          <w:rFonts w:hint="eastAsia" w:ascii="宋体" w:hAnsi="宋体" w:eastAsia="宋体" w:cs="宋体"/>
          <w:b/>
          <w:bCs/>
          <w:sz w:val="32"/>
          <w:szCs w:val="32"/>
          <w:lang w:eastAsia="zh-CN"/>
        </w:rPr>
        <w:drawing>
          <wp:inline distT="0" distB="0" distL="114300" distR="114300">
            <wp:extent cx="5478780" cy="2668270"/>
            <wp:effectExtent l="0" t="0" r="7620" b="8255"/>
            <wp:docPr id="15" name="图表 15"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：2022届毕业生留皖就业城市</w:t>
      </w:r>
      <w:r>
        <w:rPr>
          <w:rFonts w:hint="eastAsia" w:ascii="宋体" w:hAnsi="宋体" w:eastAsia="宋体" w:cs="宋体"/>
          <w:b w:val="0"/>
          <w:bCs w:val="0"/>
          <w:kern w:val="2"/>
          <w:sz w:val="21"/>
          <w:szCs w:val="21"/>
          <w:lang w:val="en-US" w:eastAsia="zh-CN" w:bidi="ar-SA"/>
        </w:rPr>
        <w:t>分布</w:t>
      </w:r>
    </w:p>
    <w:p>
      <w:pPr>
        <w:bidi w:val="0"/>
        <w:jc w:val="left"/>
        <w:rPr>
          <w:rFonts w:hint="eastAsia"/>
          <w:lang w:val="en-US" w:eastAsia="zh-CN"/>
        </w:rPr>
      </w:pPr>
      <w:r>
        <w:rPr>
          <w:rFonts w:hint="eastAsia"/>
          <w:lang w:val="en-US" w:eastAsia="zh-CN"/>
        </w:rPr>
        <w:t>从毕业生所在院系来看，在省内就业占比最高的院系是新闻传媒学院45人占比95.74%，然后是19社招班21人和音乐学院69人，分别占比95.45%和93.24%，如</w:t>
      </w:r>
      <w:r>
        <w:rPr>
          <w:rFonts w:hint="eastAsia" w:cs="Times New Roman"/>
          <w:b w:val="0"/>
          <w:bCs w:val="0"/>
          <w:kern w:val="2"/>
          <w:sz w:val="24"/>
          <w:szCs w:val="22"/>
          <w:lang w:val="en-US" w:eastAsia="zh-CN" w:bidi="ar-SA"/>
        </w:rPr>
        <w:t>下表所示：</w:t>
      </w:r>
    </w:p>
    <w:p>
      <w:pPr>
        <w:pStyle w:val="38"/>
        <w:bidi w:val="0"/>
        <w:rPr>
          <w:rFonts w:hint="default"/>
          <w:lang w:val="en-US" w:eastAsia="zh-CN"/>
        </w:rPr>
      </w:pPr>
      <w:r>
        <w:rPr>
          <w:rFonts w:hint="eastAsia"/>
          <w:lang w:val="en-US" w:eastAsia="zh-CN"/>
        </w:rPr>
        <w:t>表：2022届毕业生留皖就业院系分布表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004"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98"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实际就业人数</w:t>
            </w:r>
          </w:p>
        </w:tc>
        <w:tc>
          <w:tcPr>
            <w:tcW w:w="99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留皖数</w:t>
            </w:r>
          </w:p>
        </w:tc>
        <w:tc>
          <w:tcPr>
            <w:tcW w:w="998" w:type="pct"/>
            <w:shd w:val="clear" w:color="auto" w:fill="548DD4"/>
            <w:noWrap w:val="0"/>
            <w:tcMar>
              <w:top w:w="8" w:type="dxa"/>
              <w:left w:w="8" w:type="dxa"/>
              <w:right w:w="8" w:type="dxa"/>
            </w:tcMar>
            <w:vAlign w:val="center"/>
          </w:tcPr>
          <w:p>
            <w:pPr>
              <w:pStyle w:val="38"/>
              <w:bidi w:val="0"/>
              <w:jc w:val="center"/>
              <w:rPr>
                <w:rFonts w:hint="default" w:eastAsia="宋体"/>
                <w:b/>
                <w:bCs/>
                <w:color w:val="FFFFFF"/>
                <w:lang w:val="en-US" w:eastAsia="zh-CN"/>
              </w:rPr>
            </w:pPr>
            <w:r>
              <w:rPr>
                <w:rFonts w:hint="eastAsia"/>
                <w:b/>
                <w:bCs/>
                <w:color w:val="FFFFFF"/>
                <w:lang w:val="en-US" w:eastAsia="zh-CN"/>
              </w:rPr>
              <w:t>留皖率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新闻传媒学院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45</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19社招班</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74</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综合艺术学院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208</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85.71%</w:t>
            </w:r>
          </w:p>
        </w:tc>
      </w:tr>
    </w:tbl>
    <w:p>
      <w:pPr>
        <w:bidi w:val="0"/>
        <w:ind w:left="0" w:leftChars="0" w:firstLine="0" w:firstLineChars="0"/>
        <w:jc w:val="center"/>
        <w:rPr>
          <w:rFonts w:hint="eastAsia" w:ascii="宋体" w:hAnsi="宋体" w:eastAsia="宋体" w:cs="宋体"/>
          <w:b w:val="0"/>
          <w:bCs w:val="0"/>
          <w:kern w:val="2"/>
          <w:sz w:val="21"/>
          <w:szCs w:val="21"/>
          <w:lang w:val="en-US" w:eastAsia="zh-CN" w:bidi="ar-SA"/>
        </w:rPr>
      </w:pPr>
    </w:p>
    <w:p>
      <w:pPr>
        <w:bidi w:val="0"/>
        <w:jc w:val="left"/>
        <w:rPr>
          <w:rFonts w:hint="eastAsia"/>
          <w:lang w:val="en-US" w:eastAsia="zh-CN"/>
        </w:rPr>
      </w:pPr>
      <w:r>
        <w:rPr>
          <w:rFonts w:hint="eastAsia"/>
          <w:lang w:val="en-US" w:eastAsia="zh-CN"/>
        </w:rPr>
        <w:t>从毕业生就读专业来看，在省内就业占比最高的专业是空中乘务34人、摄影摄像技术14人和艺术设计(公共)2人，占比都是100.00%，如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：2022届毕业生留皖就业专业分布表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453" w:type="dxa"/>
            <w:shd w:val="clear" w:color="auto" w:fill="548DD4"/>
            <w:noWrap w:val="0"/>
            <w:tcMar>
              <w:top w:w="8" w:type="dxa"/>
              <w:left w:w="8" w:type="dxa"/>
              <w:right w:w="8" w:type="dxa"/>
            </w:tcMar>
            <w:vAlign w:val="center"/>
          </w:tcPr>
          <w:p>
            <w:pPr>
              <w:pStyle w:val="38"/>
              <w:bidi w:val="0"/>
              <w:ind w:firstLine="0" w:firstLineChars="0"/>
              <w:rPr>
                <w:rFonts w:hint="default" w:eastAsia="宋体"/>
                <w:b/>
                <w:bCs/>
                <w:color w:val="FFFFFF"/>
                <w:lang w:val="en-US" w:eastAsia="zh-CN"/>
              </w:rPr>
            </w:pPr>
            <w:r>
              <w:rPr>
                <w:rFonts w:hint="eastAsia"/>
                <w:b/>
                <w:bCs/>
                <w:color w:val="FFFFFF"/>
                <w:lang w:val="en-US" w:eastAsia="zh-CN"/>
              </w:rPr>
              <w:t>专业名称</w:t>
            </w:r>
          </w:p>
        </w:tc>
        <w:tc>
          <w:tcPr>
            <w:tcW w:w="1720" w:type="dxa"/>
            <w:shd w:val="clear" w:color="auto" w:fill="548DD4"/>
            <w:noWrap w:val="0"/>
            <w:tcMar>
              <w:top w:w="8" w:type="dxa"/>
              <w:left w:w="8" w:type="dxa"/>
              <w:right w:w="8" w:type="dxa"/>
            </w:tcMar>
            <w:vAlign w:val="center"/>
          </w:tcPr>
          <w:p>
            <w:pPr>
              <w:pStyle w:val="38"/>
              <w:bidi w:val="0"/>
              <w:ind w:firstLine="0" w:firstLineChars="0"/>
              <w:rPr>
                <w:rFonts w:hint="default" w:eastAsia="宋体"/>
                <w:b/>
                <w:bCs/>
                <w:color w:val="FFFFFF"/>
                <w:lang w:val="en-US" w:eastAsia="zh-CN"/>
              </w:rPr>
            </w:pPr>
            <w:r>
              <w:rPr>
                <w:rFonts w:hint="eastAsia"/>
                <w:b/>
                <w:bCs/>
                <w:color w:val="FFFFFF"/>
                <w:lang w:val="en-US" w:eastAsia="zh-CN"/>
              </w:rPr>
              <w:t>实际就业人数</w:t>
            </w:r>
          </w:p>
        </w:tc>
        <w:tc>
          <w:tcPr>
            <w:tcW w:w="1720" w:type="dxa"/>
            <w:shd w:val="clear" w:color="auto" w:fill="548DD4"/>
            <w:noWrap w:val="0"/>
            <w:tcMar>
              <w:top w:w="8" w:type="dxa"/>
              <w:left w:w="8" w:type="dxa"/>
              <w:right w:w="8" w:type="dxa"/>
            </w:tcMar>
            <w:vAlign w:val="center"/>
          </w:tcPr>
          <w:p>
            <w:pPr>
              <w:pStyle w:val="38"/>
              <w:bidi w:val="0"/>
              <w:ind w:firstLine="0" w:firstLineChars="0"/>
              <w:rPr>
                <w:rFonts w:hint="default"/>
                <w:b/>
                <w:bCs/>
                <w:color w:val="FFFFFF"/>
                <w:lang w:val="en-US" w:eastAsia="zh-CN"/>
              </w:rPr>
            </w:pPr>
            <w:r>
              <w:rPr>
                <w:rFonts w:hint="eastAsia"/>
                <w:b/>
                <w:bCs/>
                <w:color w:val="FFFFFF"/>
                <w:lang w:val="en-US" w:eastAsia="zh-CN"/>
              </w:rPr>
              <w:t>留皖数</w:t>
            </w:r>
          </w:p>
        </w:tc>
        <w:tc>
          <w:tcPr>
            <w:tcW w:w="1720" w:type="dxa"/>
            <w:shd w:val="clear" w:color="auto" w:fill="548DD4"/>
            <w:noWrap w:val="0"/>
            <w:tcMar>
              <w:top w:w="8" w:type="dxa"/>
              <w:left w:w="8" w:type="dxa"/>
              <w:right w:w="8" w:type="dxa"/>
            </w:tcMar>
            <w:vAlign w:val="center"/>
          </w:tcPr>
          <w:p>
            <w:pPr>
              <w:pStyle w:val="38"/>
              <w:bidi w:val="0"/>
              <w:ind w:firstLine="0" w:firstLineChars="0"/>
              <w:jc w:val="center"/>
              <w:rPr>
                <w:rFonts w:hint="default" w:eastAsia="宋体"/>
                <w:b/>
                <w:bCs/>
                <w:color w:val="FFFFFF"/>
                <w:lang w:val="en-US" w:eastAsia="zh-CN"/>
              </w:rPr>
            </w:pPr>
            <w:r>
              <w:rPr>
                <w:rFonts w:hint="eastAsia"/>
                <w:b/>
                <w:bCs/>
                <w:color w:val="FFFFFF"/>
                <w:lang w:val="en-US" w:eastAsia="zh-CN"/>
              </w:rPr>
              <w:t>留皖率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空中乘务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摄影摄像技术</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艺术设计(公共)</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播音与主持</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国际标准舞</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表演艺术</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影视编导</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25</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人物形象设计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戏剧影视表演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35</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数字媒体艺术设计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9</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环境艺术设计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43</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动漫设计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戏曲表演</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高速铁路客运乘务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服装与服饰设计</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3" w:type="dxa"/>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艺术设计(平面)</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w:t>
            </w:r>
          </w:p>
        </w:tc>
        <w:tc>
          <w:tcPr>
            <w:tcW w:w="1720" w:type="dxa"/>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0.00%</w:t>
            </w:r>
          </w:p>
        </w:tc>
      </w:tr>
    </w:tbl>
    <w:p>
      <w:pPr>
        <w:bidi w:val="0"/>
        <w:jc w:val="left"/>
        <w:rPr>
          <w:rFonts w:hint="eastAsia"/>
          <w:lang w:val="en-US" w:eastAsia="zh-CN"/>
        </w:rPr>
      </w:pPr>
      <w:bookmarkStart w:id="121" w:name="_Toc27128"/>
    </w:p>
    <w:p>
      <w:pPr>
        <w:bidi w:val="0"/>
        <w:jc w:val="left"/>
        <w:rPr>
          <w:rFonts w:hint="eastAsia"/>
          <w:lang w:val="en-US" w:eastAsia="zh-CN"/>
        </w:rPr>
      </w:pPr>
      <w:r>
        <w:rPr>
          <w:rFonts w:hint="eastAsia"/>
          <w:lang w:val="en-US" w:eastAsia="zh-CN"/>
        </w:rPr>
        <w:t>从省籍来看，2022届皖籍毕业生1375人，选择在省内就业工作的有676人，皖籍留皖比例是90.86%；非皖籍毕业生29人并留在安徽就业工作的有11人，留皖比</w:t>
      </w:r>
      <w:r>
        <w:rPr>
          <w:rFonts w:hint="eastAsia" w:cs="Times New Roman"/>
          <w:lang w:val="en-US" w:eastAsia="zh-CN"/>
        </w:rPr>
        <w:t>例是</w:t>
      </w:r>
      <w:r>
        <w:rPr>
          <w:rFonts w:hint="eastAsia" w:ascii="Times New Roman" w:hAnsi="Times New Roman" w:cs="Times New Roman"/>
          <w:lang w:val="en-US" w:eastAsia="zh-CN"/>
        </w:rPr>
        <w:t>78.57%</w:t>
      </w:r>
      <w:r>
        <w:rPr>
          <w:rFonts w:hint="eastAsia"/>
          <w:lang w:val="en-US" w:eastAsia="zh-CN"/>
        </w:rPr>
        <w:t>。</w:t>
      </w: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22" w:name="_Toc10369"/>
      <w:r>
        <w:rPr>
          <w:rFonts w:hint="eastAsia" w:ascii="宋体" w:hAnsi="宋体" w:cs="宋体"/>
          <w:b/>
          <w:bCs/>
          <w:sz w:val="28"/>
          <w:szCs w:val="28"/>
          <w:lang w:val="en-US" w:eastAsia="zh-CN"/>
        </w:rPr>
        <w:t>毕业生</w:t>
      </w:r>
      <w:r>
        <w:rPr>
          <w:rFonts w:hint="eastAsia"/>
          <w:lang w:val="en-US" w:eastAsia="zh-CN"/>
        </w:rPr>
        <w:t>人才回报</w:t>
      </w:r>
      <w:r>
        <w:rPr>
          <w:rStyle w:val="24"/>
          <w:rFonts w:hint="eastAsia" w:ascii="宋体" w:hAnsi="宋体" w:eastAsia="宋体" w:cs="宋体"/>
          <w:b w:val="0"/>
          <w:bCs w:val="0"/>
          <w:lang w:val="en-US" w:eastAsia="zh-CN"/>
        </w:rPr>
        <w:footnoteReference w:id="12"/>
      </w:r>
      <w:r>
        <w:rPr>
          <w:rFonts w:hint="eastAsia"/>
          <w:lang w:val="en-US" w:eastAsia="zh-CN"/>
        </w:rPr>
        <w:t>情况</w:t>
      </w:r>
      <w:bookmarkEnd w:id="121"/>
      <w:bookmarkEnd w:id="122"/>
    </w:p>
    <w:p>
      <w:pPr>
        <w:bidi w:val="0"/>
        <w:jc w:val="left"/>
        <w:rPr>
          <w:rFonts w:hint="eastAsia"/>
          <w:lang w:val="en-US" w:eastAsia="zh-CN"/>
        </w:rPr>
      </w:pPr>
      <w:r>
        <w:rPr>
          <w:rFonts w:hint="eastAsia"/>
          <w:lang w:val="en-US" w:eastAsia="zh-CN"/>
        </w:rPr>
        <w:t>2022届毕业生在</w:t>
      </w:r>
      <w:r>
        <w:rPr>
          <w:rFonts w:hint="eastAsia" w:ascii="宋体" w:hAnsi="宋体" w:cs="宋体"/>
          <w:sz w:val="24"/>
          <w:szCs w:val="24"/>
          <w:lang w:val="en-US" w:eastAsia="zh-CN"/>
        </w:rPr>
        <w:t>合肥市</w:t>
      </w:r>
      <w:r>
        <w:rPr>
          <w:rFonts w:hint="eastAsia"/>
          <w:lang w:val="en-US" w:eastAsia="zh-CN"/>
        </w:rPr>
        <w:t xml:space="preserve">实际就业人数为 </w:t>
      </w:r>
      <w:r>
        <w:rPr>
          <w:rFonts w:hint="eastAsia" w:ascii="宋体" w:hAnsi="宋体" w:cs="宋体"/>
          <w:sz w:val="24"/>
          <w:szCs w:val="24"/>
          <w:lang w:val="en-US" w:eastAsia="zh-CN"/>
        </w:rPr>
        <w:t>389</w:t>
      </w:r>
      <w:r>
        <w:rPr>
          <w:rFonts w:hint="eastAsia"/>
          <w:lang w:val="en-US" w:eastAsia="zh-CN"/>
        </w:rPr>
        <w:t>人，在</w:t>
      </w:r>
      <w:r>
        <w:rPr>
          <w:rFonts w:hint="eastAsia" w:ascii="宋体" w:hAnsi="宋体" w:cs="宋体"/>
          <w:sz w:val="24"/>
          <w:szCs w:val="24"/>
          <w:lang w:val="en-US" w:eastAsia="zh-CN"/>
        </w:rPr>
        <w:t>合肥市</w:t>
      </w:r>
      <w:r>
        <w:rPr>
          <w:rFonts w:hint="eastAsia"/>
          <w:lang w:val="en-US" w:eastAsia="zh-CN"/>
        </w:rPr>
        <w:t>就业人数最高的区县是合肥市</w:t>
      </w:r>
      <w:r>
        <w:rPr>
          <w:rStyle w:val="24"/>
          <w:rFonts w:hint="eastAsia" w:ascii="宋体" w:hAnsi="宋体" w:eastAsia="宋体" w:cs="宋体"/>
          <w:b w:val="0"/>
          <w:bCs w:val="0"/>
          <w:lang w:val="en-US" w:eastAsia="zh-CN"/>
        </w:rPr>
        <w:footnoteReference w:id="13"/>
      </w:r>
      <w:r>
        <w:rPr>
          <w:rFonts w:hint="eastAsia"/>
          <w:lang w:val="en-US" w:eastAsia="zh-CN"/>
        </w:rPr>
        <w:t>130人占比</w:t>
      </w:r>
      <w:r>
        <w:rPr>
          <w:rFonts w:hint="eastAsia" w:ascii="宋体" w:hAnsi="宋体" w:cs="宋体"/>
          <w:sz w:val="24"/>
          <w:szCs w:val="24"/>
          <w:lang w:val="en-US" w:eastAsia="zh-CN"/>
        </w:rPr>
        <w:t>33.42%</w:t>
      </w:r>
      <w:r>
        <w:rPr>
          <w:rFonts w:hint="eastAsia"/>
          <w:lang w:val="en-US" w:eastAsia="zh-CN"/>
        </w:rPr>
        <w:t>，然后是</w:t>
      </w:r>
      <w:r>
        <w:rPr>
          <w:rFonts w:hint="eastAsia" w:ascii="宋体" w:hAnsi="宋体" w:cs="宋体"/>
          <w:sz w:val="24"/>
          <w:szCs w:val="24"/>
          <w:lang w:val="en-US" w:eastAsia="zh-CN"/>
        </w:rPr>
        <w:t>蜀山区83</w:t>
      </w:r>
      <w:r>
        <w:rPr>
          <w:rFonts w:hint="eastAsia"/>
          <w:lang w:val="en-US" w:eastAsia="zh-CN"/>
        </w:rPr>
        <w:t>人和</w:t>
      </w:r>
      <w:r>
        <w:rPr>
          <w:rFonts w:hint="eastAsia" w:ascii="宋体" w:hAnsi="宋体" w:cs="宋体"/>
          <w:sz w:val="24"/>
          <w:szCs w:val="24"/>
          <w:lang w:val="en-US" w:eastAsia="zh-CN"/>
        </w:rPr>
        <w:t>包河区48</w:t>
      </w:r>
      <w:r>
        <w:rPr>
          <w:rFonts w:hint="eastAsia"/>
          <w:lang w:val="en-US" w:eastAsia="zh-CN"/>
        </w:rPr>
        <w:t>人，分别占比</w:t>
      </w:r>
      <w:r>
        <w:rPr>
          <w:rFonts w:hint="eastAsia" w:ascii="宋体" w:hAnsi="宋体" w:cs="宋体"/>
          <w:sz w:val="24"/>
          <w:szCs w:val="24"/>
          <w:lang w:val="en-US" w:eastAsia="zh-CN"/>
        </w:rPr>
        <w:t>21.34%和12.34%</w:t>
      </w:r>
      <w:r>
        <w:rPr>
          <w:rFonts w:hint="eastAsia"/>
          <w:lang w:val="en-US" w:eastAsia="zh-CN"/>
        </w:rPr>
        <w:t>，如</w:t>
      </w:r>
      <w:r>
        <w:rPr>
          <w:rFonts w:hint="eastAsia" w:cs="Times New Roman"/>
          <w:b w:val="0"/>
          <w:bCs w:val="0"/>
          <w:kern w:val="2"/>
          <w:sz w:val="24"/>
          <w:szCs w:val="22"/>
          <w:lang w:val="en-US" w:eastAsia="zh-CN" w:bidi="ar-SA"/>
        </w:rPr>
        <w:t>下图所示：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7620" b="8255"/>
            <wp:docPr id="4" name="图表 4"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w:t>
      </w:r>
      <w:r>
        <w:rPr>
          <w:rFonts w:hint="eastAsia" w:ascii="宋体" w:hAnsi="宋体" w:cs="宋体"/>
          <w:kern w:val="2"/>
          <w:sz w:val="21"/>
          <w:szCs w:val="21"/>
          <w:lang w:val="en-US" w:eastAsia="zh-CN" w:bidi="ar-SA"/>
        </w:rPr>
        <w:t>2022届毕业生人才回报情况就业区县分布</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宋体" w:hAnsi="宋体" w:eastAsia="宋体" w:cs="宋体"/>
          <w:kern w:val="2"/>
          <w:sz w:val="21"/>
          <w:szCs w:val="21"/>
          <w:lang w:val="en-US" w:eastAsia="zh-CN" w:bidi="ar-SA"/>
        </w:rPr>
      </w:pPr>
    </w:p>
    <w:p>
      <w:pPr>
        <w:bidi w:val="0"/>
        <w:jc w:val="both"/>
        <w:rPr>
          <w:rFonts w:hint="eastAsia"/>
          <w:lang w:val="en-US" w:eastAsia="zh-CN"/>
        </w:rPr>
      </w:pPr>
      <w:r>
        <w:rPr>
          <w:rFonts w:hint="eastAsia"/>
          <w:lang w:val="en-US" w:eastAsia="zh-CN"/>
        </w:rPr>
        <w:t>从毕业生所在院系来看，在</w:t>
      </w:r>
      <w:r>
        <w:rPr>
          <w:rFonts w:hint="eastAsia" w:ascii="宋体" w:hAnsi="宋体" w:cs="宋体"/>
          <w:sz w:val="24"/>
          <w:szCs w:val="24"/>
          <w:lang w:val="en-US" w:eastAsia="zh-CN"/>
        </w:rPr>
        <w:t>合肥市</w:t>
      </w:r>
      <w:r>
        <w:rPr>
          <w:rFonts w:hint="eastAsia"/>
          <w:lang w:val="en-US" w:eastAsia="zh-CN"/>
        </w:rPr>
        <w:t>就业占比最高的院系是19社招班16人占比72.73%，然后是新闻传媒学院33人和戏曲学院7人，分布占比70.21%和63.64%，如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：2022届毕业生人才回报情况就业院系分布表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004"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98"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实际就业人数</w:t>
            </w:r>
          </w:p>
        </w:tc>
        <w:tc>
          <w:tcPr>
            <w:tcW w:w="99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本地就业数</w:t>
            </w:r>
          </w:p>
        </w:tc>
        <w:tc>
          <w:tcPr>
            <w:tcW w:w="998" w:type="pct"/>
            <w:shd w:val="clear" w:color="auto" w:fill="548DD4"/>
            <w:noWrap w:val="0"/>
            <w:tcMar>
              <w:top w:w="8" w:type="dxa"/>
              <w:left w:w="8" w:type="dxa"/>
              <w:right w:w="8" w:type="dxa"/>
            </w:tcMar>
            <w:vAlign w:val="center"/>
          </w:tcPr>
          <w:p>
            <w:pPr>
              <w:pStyle w:val="38"/>
              <w:bidi w:val="0"/>
              <w:jc w:val="center"/>
              <w:rPr>
                <w:rFonts w:hint="default" w:eastAsia="宋体"/>
                <w:b/>
                <w:bCs/>
                <w:color w:val="FFFFFF"/>
                <w:lang w:val="en-US" w:eastAsia="zh-CN"/>
              </w:rPr>
            </w:pPr>
            <w:r>
              <w:rPr>
                <w:rFonts w:hint="eastAsia"/>
                <w:b/>
                <w:bCs/>
                <w:color w:val="FFFFFF"/>
                <w:lang w:val="en-US" w:eastAsia="zh-CN"/>
              </w:rPr>
              <w:t>本地就业率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19社招班</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新闻传媒学院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74</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综合艺术学院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156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88</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72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147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229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38.86%</w:t>
            </w:r>
          </w:p>
        </w:tc>
      </w:tr>
    </w:tbl>
    <w:p>
      <w:pPr>
        <w:bidi w:val="0"/>
        <w:ind w:left="0" w:leftChars="0" w:firstLine="0" w:firstLineChars="0"/>
        <w:jc w:val="center"/>
        <w:rPr>
          <w:rFonts w:hint="eastAsia" w:ascii="宋体" w:hAnsi="宋体" w:eastAsia="宋体" w:cs="宋体"/>
          <w:b w:val="0"/>
          <w:bCs w:val="0"/>
          <w:kern w:val="2"/>
          <w:sz w:val="21"/>
          <w:szCs w:val="21"/>
          <w:lang w:val="en-US" w:eastAsia="zh-CN" w:bidi="ar-SA"/>
        </w:rPr>
      </w:pPr>
    </w:p>
    <w:p>
      <w:pPr>
        <w:bidi w:val="0"/>
        <w:jc w:val="both"/>
        <w:rPr>
          <w:rFonts w:hint="eastAsia" w:ascii="宋体" w:hAnsi="宋体" w:eastAsia="宋体" w:cs="宋体"/>
          <w:kern w:val="2"/>
          <w:sz w:val="21"/>
          <w:szCs w:val="21"/>
          <w:lang w:val="en-US" w:eastAsia="zh-CN" w:bidi="ar-SA"/>
        </w:rPr>
      </w:pPr>
      <w:r>
        <w:rPr>
          <w:rFonts w:hint="eastAsia"/>
          <w:lang w:val="en-US" w:eastAsia="zh-CN"/>
        </w:rPr>
        <w:t>从毕业生所在专业来看，在</w:t>
      </w:r>
      <w:r>
        <w:rPr>
          <w:rFonts w:hint="eastAsia" w:ascii="宋体" w:hAnsi="宋体" w:cs="宋体"/>
          <w:sz w:val="24"/>
          <w:szCs w:val="24"/>
          <w:lang w:val="en-US" w:eastAsia="zh-CN"/>
        </w:rPr>
        <w:t>合肥市</w:t>
      </w:r>
      <w:r>
        <w:rPr>
          <w:rFonts w:hint="eastAsia"/>
          <w:lang w:val="en-US" w:eastAsia="zh-CN"/>
        </w:rPr>
        <w:t>就业占比最高的院系是戏剧影视表演24人占比68.57%，然后是播音与主持34人和数字媒体艺术设计6人，分布占比66.67%和66.67%，如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：2022届毕业生人才回报情况就业专业分布表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5"/>
        <w:gridCol w:w="1725"/>
        <w:gridCol w:w="171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455" w:type="dxa"/>
            <w:shd w:val="clear" w:color="auto" w:fill="548DD4"/>
            <w:noWrap w:val="0"/>
            <w:tcMar>
              <w:top w:w="8" w:type="dxa"/>
              <w:left w:w="8" w:type="dxa"/>
              <w:right w:w="8" w:type="dxa"/>
            </w:tcMar>
            <w:vAlign w:val="center"/>
          </w:tcPr>
          <w:p>
            <w:pPr>
              <w:pStyle w:val="38"/>
              <w:bidi w:val="0"/>
              <w:ind w:firstLine="0" w:firstLineChars="0"/>
              <w:rPr>
                <w:rFonts w:hint="default" w:eastAsia="宋体"/>
                <w:b/>
                <w:bCs/>
                <w:color w:val="FFFFFF"/>
                <w:lang w:val="en-US" w:eastAsia="zh-CN"/>
              </w:rPr>
            </w:pPr>
            <w:r>
              <w:rPr>
                <w:rFonts w:hint="eastAsia"/>
                <w:b/>
                <w:bCs/>
                <w:color w:val="FFFFFF"/>
                <w:lang w:val="en-US" w:eastAsia="zh-CN"/>
              </w:rPr>
              <w:t>专业名称</w:t>
            </w:r>
          </w:p>
        </w:tc>
        <w:tc>
          <w:tcPr>
            <w:tcW w:w="1725" w:type="dxa"/>
            <w:shd w:val="clear" w:color="auto" w:fill="548DD4"/>
            <w:noWrap w:val="0"/>
            <w:tcMar>
              <w:top w:w="8" w:type="dxa"/>
              <w:left w:w="8" w:type="dxa"/>
              <w:right w:w="8" w:type="dxa"/>
            </w:tcMar>
            <w:vAlign w:val="center"/>
          </w:tcPr>
          <w:p>
            <w:pPr>
              <w:pStyle w:val="38"/>
              <w:bidi w:val="0"/>
              <w:ind w:firstLine="0" w:firstLineChars="0"/>
              <w:rPr>
                <w:rFonts w:hint="eastAsia"/>
                <w:b/>
                <w:bCs/>
                <w:color w:val="FFFFFF"/>
              </w:rPr>
            </w:pPr>
            <w:r>
              <w:rPr>
                <w:rFonts w:hint="eastAsia"/>
                <w:b/>
                <w:bCs/>
                <w:color w:val="FFFFFF"/>
                <w:lang w:val="en-US" w:eastAsia="zh-CN"/>
              </w:rPr>
              <w:t>实际就业人数</w:t>
            </w:r>
          </w:p>
        </w:tc>
        <w:tc>
          <w:tcPr>
            <w:tcW w:w="1716" w:type="dxa"/>
            <w:shd w:val="clear" w:color="auto" w:fill="548DD4"/>
            <w:noWrap w:val="0"/>
            <w:tcMar>
              <w:top w:w="8" w:type="dxa"/>
              <w:left w:w="8" w:type="dxa"/>
              <w:right w:w="8" w:type="dxa"/>
            </w:tcMar>
            <w:vAlign w:val="center"/>
          </w:tcPr>
          <w:p>
            <w:pPr>
              <w:pStyle w:val="38"/>
              <w:bidi w:val="0"/>
              <w:ind w:firstLine="0" w:firstLineChars="0"/>
              <w:rPr>
                <w:rFonts w:hint="default"/>
                <w:b/>
                <w:bCs/>
                <w:color w:val="FFFFFF"/>
                <w:lang w:val="en-US"/>
              </w:rPr>
            </w:pPr>
            <w:r>
              <w:rPr>
                <w:rFonts w:hint="eastAsia"/>
                <w:b/>
                <w:bCs/>
                <w:color w:val="FFFFFF"/>
                <w:lang w:val="en-US" w:eastAsia="zh-CN"/>
              </w:rPr>
              <w:t>本地就业数</w:t>
            </w:r>
          </w:p>
        </w:tc>
        <w:tc>
          <w:tcPr>
            <w:tcW w:w="1717" w:type="dxa"/>
            <w:shd w:val="clear" w:color="auto" w:fill="548DD4"/>
            <w:noWrap w:val="0"/>
            <w:tcMar>
              <w:top w:w="8" w:type="dxa"/>
              <w:left w:w="8" w:type="dxa"/>
              <w:right w:w="8" w:type="dxa"/>
            </w:tcMar>
            <w:vAlign w:val="center"/>
          </w:tcPr>
          <w:p>
            <w:pPr>
              <w:pStyle w:val="38"/>
              <w:bidi w:val="0"/>
              <w:ind w:firstLine="0" w:firstLineChars="0"/>
              <w:jc w:val="center"/>
              <w:rPr>
                <w:rFonts w:hint="default"/>
                <w:b/>
                <w:bCs/>
                <w:color w:val="FFFFFF"/>
                <w:lang w:val="en-US"/>
              </w:rPr>
            </w:pPr>
            <w:r>
              <w:rPr>
                <w:rFonts w:hint="eastAsia"/>
                <w:b/>
                <w:bCs/>
                <w:color w:val="FFFFFF"/>
                <w:lang w:val="en-US" w:eastAsia="zh-CN"/>
              </w:rPr>
              <w:t>本地就业率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戏剧影视表演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35</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24</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播音与主持</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51</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34</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数字媒体艺术设计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9</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音乐表演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83</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53</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表演艺术</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63</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39</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动漫设计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14</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8</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戏曲表演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7</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高速铁路客运乘务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46</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25</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环境艺术设计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43</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23</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空中乘务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34</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18</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人物形象设计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12</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6</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摄影摄像技术</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14</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7</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艺术设计(公共)</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艺术设计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57</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27</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美术</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17</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8</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国际标准舞</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114</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47</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影视编导</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25</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10</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舞蹈表演</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121</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47</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38.84%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服装与服饰设计</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10</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45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default"/>
                <w:lang w:val="en-US" w:eastAsia="zh-CN"/>
              </w:rPr>
              <w:t>艺术设计(平面)</w:t>
            </w:r>
          </w:p>
        </w:tc>
        <w:tc>
          <w:tcPr>
            <w:tcW w:w="1725"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1</w:t>
            </w:r>
          </w:p>
        </w:tc>
        <w:tc>
          <w:tcPr>
            <w:tcW w:w="1716"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w:t>
            </w:r>
          </w:p>
        </w:tc>
        <w:tc>
          <w:tcPr>
            <w:tcW w:w="1717" w:type="dxa"/>
            <w:noWrap w:val="0"/>
            <w:tcMar>
              <w:top w:w="8" w:type="dxa"/>
              <w:left w:w="8" w:type="dxa"/>
              <w:right w:w="8" w:type="dxa"/>
            </w:tcMar>
            <w:vAlign w:val="center"/>
          </w:tcPr>
          <w:p>
            <w:pPr>
              <w:pStyle w:val="38"/>
              <w:bidi w:val="0"/>
              <w:ind w:firstLine="0" w:firstLineChars="0"/>
              <w:rPr>
                <w:rFonts w:hint="eastAsia" w:ascii="宋体" w:hAnsi="宋体" w:eastAsia="宋体" w:cs="宋体"/>
                <w:kern w:val="2"/>
                <w:sz w:val="21"/>
                <w:szCs w:val="21"/>
                <w:lang w:val="en-US" w:eastAsia="zh-CN" w:bidi="ar-SA"/>
              </w:rPr>
            </w:pPr>
            <w:r>
              <w:rPr>
                <w:rFonts w:hint="eastAsia"/>
                <w:lang w:val="en-US" w:eastAsia="zh-CN"/>
              </w:rPr>
              <w:t>0.00%</w:t>
            </w:r>
          </w:p>
        </w:tc>
      </w:tr>
    </w:tbl>
    <w:p>
      <w:pPr>
        <w:bidi w:val="0"/>
        <w:rPr>
          <w:rFonts w:hint="eastAsia"/>
          <w:lang w:val="en-US" w:eastAsia="zh-CN"/>
        </w:rPr>
      </w:pPr>
    </w:p>
    <w:p>
      <w:pPr>
        <w:pStyle w:val="3"/>
        <w:keepNext/>
        <w:keepLines/>
        <w:pageBreakBefore w:val="0"/>
        <w:widowControl w:val="0"/>
        <w:numPr>
          <w:ilvl w:val="0"/>
          <w:numId w:val="4"/>
        </w:numPr>
        <w:kinsoku/>
        <w:wordWrap/>
        <w:overflowPunct/>
        <w:topLinePunct w:val="0"/>
        <w:autoSpaceDE/>
        <w:autoSpaceDN/>
        <w:bidi w:val="0"/>
        <w:adjustRightInd/>
        <w:snapToGrid/>
        <w:spacing w:before="240" w:beforeLines="100" w:after="0" w:line="360" w:lineRule="auto"/>
        <w:textAlignment w:val="auto"/>
        <w:rPr>
          <w:rFonts w:hint="eastAsia"/>
          <w:lang w:val="en-US" w:eastAsia="zh-CN"/>
        </w:rPr>
      </w:pPr>
      <w:bookmarkStart w:id="123" w:name="_Toc6790"/>
      <w:r>
        <w:rPr>
          <w:rFonts w:hint="eastAsia" w:ascii="宋体" w:hAnsi="宋体" w:cs="宋体"/>
          <w:b/>
          <w:bCs/>
          <w:sz w:val="28"/>
          <w:szCs w:val="28"/>
          <w:lang w:val="en-US" w:eastAsia="zh-CN"/>
        </w:rPr>
        <w:t>毕业生</w:t>
      </w:r>
      <w:r>
        <w:rPr>
          <w:rFonts w:hint="eastAsia"/>
          <w:lang w:val="en-US" w:eastAsia="zh-CN"/>
        </w:rPr>
        <w:t>回流</w:t>
      </w:r>
      <w:r>
        <w:rPr>
          <w:rStyle w:val="24"/>
          <w:rFonts w:hint="eastAsia" w:ascii="宋体" w:hAnsi="宋体" w:eastAsia="宋体" w:cs="宋体"/>
          <w:b w:val="0"/>
          <w:bCs w:val="0"/>
          <w:lang w:val="en-US" w:eastAsia="zh-CN"/>
        </w:rPr>
        <w:footnoteReference w:id="14"/>
      </w:r>
      <w:r>
        <w:rPr>
          <w:rFonts w:hint="eastAsia"/>
          <w:lang w:val="en-US" w:eastAsia="zh-CN"/>
        </w:rPr>
        <w:t>就业情况</w:t>
      </w:r>
      <w:bookmarkEnd w:id="123"/>
    </w:p>
    <w:p>
      <w:pPr>
        <w:bidi w:val="0"/>
        <w:jc w:val="both"/>
        <w:rPr>
          <w:rFonts w:hint="default"/>
          <w:lang w:val="en-US" w:eastAsia="zh-CN"/>
        </w:rPr>
      </w:pPr>
      <w:r>
        <w:rPr>
          <w:rFonts w:hint="eastAsia" w:ascii="Times New Roman" w:hAnsi="Times New Roman" w:cs="Times New Roman"/>
          <w:lang w:val="en-US" w:eastAsia="zh-CN"/>
        </w:rPr>
        <w:t>在全部</w:t>
      </w:r>
      <w:r>
        <w:rPr>
          <w:rFonts w:hint="eastAsia" w:cs="Times New Roman"/>
          <w:lang w:val="en-US" w:eastAsia="zh-CN"/>
        </w:rPr>
        <w:t>毕业生</w:t>
      </w:r>
      <w:r>
        <w:rPr>
          <w:rFonts w:hint="eastAsia" w:ascii="Times New Roman" w:hAnsi="Times New Roman" w:cs="Times New Roman"/>
          <w:lang w:val="en-US" w:eastAsia="zh-CN"/>
        </w:rPr>
        <w:t>1404</w:t>
      </w:r>
      <w:r>
        <w:rPr>
          <w:rFonts w:hint="eastAsia" w:cs="Times New Roman"/>
          <w:lang w:val="en-US" w:eastAsia="zh-CN"/>
        </w:rPr>
        <w:t>名</w:t>
      </w:r>
      <w:r>
        <w:rPr>
          <w:rFonts w:hint="eastAsia" w:ascii="Times New Roman" w:hAnsi="Times New Roman" w:cs="Times New Roman"/>
          <w:lang w:val="en-US" w:eastAsia="zh-CN"/>
        </w:rPr>
        <w:t>2022届</w:t>
      </w:r>
      <w:r>
        <w:rPr>
          <w:rFonts w:hint="eastAsia" w:cs="Times New Roman"/>
          <w:lang w:val="en-US" w:eastAsia="zh-CN"/>
        </w:rPr>
        <w:t>毕业生</w:t>
      </w:r>
      <w:r>
        <w:rPr>
          <w:rFonts w:hint="eastAsia" w:ascii="Times New Roman" w:hAnsi="Times New Roman" w:cs="Times New Roman"/>
          <w:lang w:val="en-US" w:eastAsia="zh-CN"/>
        </w:rPr>
        <w:t>中758</w:t>
      </w:r>
      <w:r>
        <w:rPr>
          <w:rFonts w:hint="eastAsia" w:cs="Times New Roman"/>
          <w:lang w:val="en-US" w:eastAsia="zh-CN"/>
        </w:rPr>
        <w:t>名实际参加工作</w:t>
      </w:r>
      <w:r>
        <w:rPr>
          <w:rFonts w:hint="eastAsia" w:ascii="Times New Roman" w:hAnsi="Times New Roman" w:cs="Times New Roman"/>
          <w:lang w:val="en-US" w:eastAsia="zh-CN"/>
        </w:rPr>
        <w:t>，在他们当中有375回到自己家乡工作，</w:t>
      </w:r>
      <w:r>
        <w:rPr>
          <w:rFonts w:hint="eastAsia" w:cs="Times New Roman"/>
          <w:lang w:val="en-US" w:eastAsia="zh-CN"/>
        </w:rPr>
        <w:t>毕业生</w:t>
      </w:r>
      <w:r>
        <w:rPr>
          <w:rFonts w:hint="eastAsia" w:ascii="Times New Roman" w:hAnsi="Times New Roman" w:cs="Times New Roman"/>
          <w:lang w:val="en-US" w:eastAsia="zh-CN"/>
        </w:rPr>
        <w:t>回流就业比例为49.47%，其中有374名安徽籍</w:t>
      </w:r>
      <w:r>
        <w:rPr>
          <w:rFonts w:hint="eastAsia" w:cs="Times New Roman"/>
          <w:lang w:val="en-US" w:eastAsia="zh-CN"/>
        </w:rPr>
        <w:t>毕业生</w:t>
      </w:r>
      <w:r>
        <w:rPr>
          <w:rFonts w:hint="eastAsia" w:ascii="Times New Roman" w:hAnsi="Times New Roman" w:cs="Times New Roman"/>
          <w:lang w:val="en-US" w:eastAsia="zh-CN"/>
        </w:rPr>
        <w:t>回到自己的家乡工作，回流就业比例为50.27%。在安徽16个市级行政单位中回</w:t>
      </w:r>
      <w:r>
        <w:rPr>
          <w:rFonts w:hint="eastAsia"/>
          <w:lang w:val="en-US" w:eastAsia="zh-CN"/>
        </w:rPr>
        <w:t>原籍就业比例最高的三个城市分别是：合肥市（48.35%）、池州市（37.93%）和马鞍山市（37.21%），如</w:t>
      </w:r>
      <w:r>
        <w:rPr>
          <w:rFonts w:hint="eastAsia" w:cs="Times New Roman"/>
          <w:b w:val="0"/>
          <w:bCs w:val="0"/>
          <w:kern w:val="2"/>
          <w:sz w:val="24"/>
          <w:szCs w:val="22"/>
          <w:lang w:val="en-US" w:eastAsia="zh-CN" w:bidi="ar-SA"/>
        </w:rPr>
        <w:t>下图所示：</w:t>
      </w:r>
    </w:p>
    <w:p>
      <w:pPr>
        <w:bidi w:val="0"/>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7620" b="8255"/>
            <wp:docPr id="6" name="图表 6"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安徽籍</w:t>
      </w:r>
      <w:r>
        <w:rPr>
          <w:rFonts w:hint="eastAsia" w:ascii="宋体" w:hAnsi="宋体" w:cs="宋体"/>
          <w:b w:val="0"/>
          <w:bCs w:val="0"/>
          <w:kern w:val="2"/>
          <w:sz w:val="21"/>
          <w:szCs w:val="21"/>
          <w:lang w:val="en-US" w:eastAsia="zh-CN" w:bidi="ar-SA"/>
        </w:rPr>
        <w:t>毕业生回家乡就业比例</w:t>
      </w:r>
      <w:r>
        <w:rPr>
          <w:rFonts w:hint="eastAsia" w:ascii="宋体" w:hAnsi="宋体" w:eastAsia="宋体" w:cs="宋体"/>
          <w:b w:val="0"/>
          <w:bCs w:val="0"/>
          <w:kern w:val="2"/>
          <w:sz w:val="21"/>
          <w:szCs w:val="21"/>
          <w:lang w:val="en-US" w:eastAsia="zh-CN" w:bidi="ar-SA"/>
        </w:rPr>
        <w:t>分布</w:t>
      </w:r>
    </w:p>
    <w:p>
      <w:pPr>
        <w:bidi w:val="0"/>
        <w:ind w:left="0" w:leftChars="0" w:firstLine="0" w:firstLineChars="0"/>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bCs/>
          <w:sz w:val="32"/>
          <w:szCs w:val="32"/>
          <w:lang w:eastAsia="zh-CN"/>
        </w:rPr>
        <w:drawing>
          <wp:inline distT="0" distB="0" distL="114300" distR="114300">
            <wp:extent cx="5478780" cy="2668270"/>
            <wp:effectExtent l="0" t="0" r="7620" b="8255"/>
            <wp:docPr id="16" name="图表 16" descr="7b0a202020202263686172745265734964223a202232303437333035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hint="eastAsia" w:ascii="宋体" w:hAnsi="宋体" w:eastAsia="宋体" w:cs="宋体"/>
          <w:b w:val="0"/>
          <w:bCs w:val="0"/>
          <w:kern w:val="2"/>
          <w:sz w:val="21"/>
          <w:szCs w:val="21"/>
          <w:lang w:val="en-US" w:eastAsia="zh-CN" w:bidi="ar-SA"/>
        </w:rPr>
        <w:t>图</w:t>
      </w:r>
      <w:r>
        <w:rPr>
          <w:rFonts w:hint="eastAsia" w:ascii="宋体" w:hAnsi="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安徽籍</w:t>
      </w:r>
      <w:r>
        <w:rPr>
          <w:rFonts w:hint="eastAsia" w:ascii="宋体" w:hAnsi="宋体" w:cs="宋体"/>
          <w:b w:val="0"/>
          <w:bCs w:val="0"/>
          <w:kern w:val="2"/>
          <w:sz w:val="21"/>
          <w:szCs w:val="21"/>
          <w:lang w:val="en-US" w:eastAsia="zh-CN" w:bidi="ar-SA"/>
        </w:rPr>
        <w:t>毕业生回家乡就业人数</w:t>
      </w:r>
      <w:r>
        <w:rPr>
          <w:rFonts w:hint="eastAsia" w:ascii="宋体" w:hAnsi="宋体" w:eastAsia="宋体" w:cs="宋体"/>
          <w:b w:val="0"/>
          <w:bCs w:val="0"/>
          <w:kern w:val="2"/>
          <w:sz w:val="21"/>
          <w:szCs w:val="21"/>
          <w:lang w:val="en-US" w:eastAsia="zh-CN" w:bidi="ar-SA"/>
        </w:rPr>
        <w:t>分布</w:t>
      </w:r>
    </w:p>
    <w:p>
      <w:pPr>
        <w:bidi w:val="0"/>
        <w:rPr>
          <w:rFonts w:hint="eastAsia"/>
          <w:lang w:val="en-US" w:eastAsia="zh-CN"/>
        </w:rPr>
      </w:pPr>
      <w:r>
        <w:rPr>
          <w:rFonts w:hint="eastAsia"/>
          <w:lang w:val="en-US" w:eastAsia="zh-CN"/>
        </w:rPr>
        <w:t>非皖籍毕业生的回流比例是7.14%。</w:t>
      </w:r>
    </w:p>
    <w:p>
      <w:pPr>
        <w:bidi w:val="0"/>
        <w:jc w:val="both"/>
        <w:rPr>
          <w:rFonts w:hint="eastAsia"/>
          <w:lang w:val="en-US" w:eastAsia="zh-CN"/>
        </w:rPr>
      </w:pPr>
      <w:r>
        <w:rPr>
          <w:rFonts w:hint="eastAsia"/>
          <w:lang w:val="en-US" w:eastAsia="zh-CN"/>
        </w:rPr>
        <w:t>全校范围内19社招班最高，其次是舞蹈学院和综合艺术学院，如</w:t>
      </w:r>
      <w:r>
        <w:rPr>
          <w:rFonts w:hint="eastAsia" w:cs="Times New Roman"/>
          <w:b w:val="0"/>
          <w:bCs w:val="0"/>
          <w:kern w:val="2"/>
          <w:sz w:val="24"/>
          <w:szCs w:val="22"/>
          <w:lang w:val="en-US" w:eastAsia="zh-CN" w:bidi="ar-SA"/>
        </w:rPr>
        <w:t>下表所示：</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宋体" w:hAnsi="宋体" w:cs="宋体"/>
          <w:kern w:val="2"/>
          <w:sz w:val="21"/>
          <w:szCs w:val="21"/>
          <w:lang w:val="en-US" w:eastAsia="zh-CN" w:bidi="ar-SA"/>
        </w:rPr>
      </w:pPr>
      <w:r>
        <w:rPr>
          <w:rFonts w:hint="eastAsia" w:ascii="宋体" w:hAnsi="宋体" w:cs="宋体"/>
          <w:b w:val="0"/>
          <w:bCs w:val="0"/>
          <w:kern w:val="2"/>
          <w:sz w:val="21"/>
          <w:szCs w:val="21"/>
          <w:lang w:val="en-US" w:eastAsia="zh-CN" w:bidi="ar-SA"/>
        </w:rPr>
        <w:t>表：</w:t>
      </w:r>
      <w:r>
        <w:rPr>
          <w:rFonts w:hint="eastAsia" w:ascii="宋体" w:hAnsi="宋体" w:cs="宋体"/>
          <w:kern w:val="2"/>
          <w:sz w:val="21"/>
          <w:szCs w:val="21"/>
          <w:lang w:val="en-US" w:eastAsia="zh-CN" w:bidi="ar-SA"/>
        </w:rPr>
        <w:t>2022届毕业生回家乡就业院系分布表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53"/>
        <w:gridCol w:w="1720"/>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004"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院系名称</w:t>
            </w:r>
          </w:p>
        </w:tc>
        <w:tc>
          <w:tcPr>
            <w:tcW w:w="998" w:type="pct"/>
            <w:shd w:val="clear" w:color="auto" w:fill="548DD4"/>
            <w:noWrap w:val="0"/>
            <w:tcMar>
              <w:top w:w="8" w:type="dxa"/>
              <w:left w:w="8" w:type="dxa"/>
              <w:right w:w="8" w:type="dxa"/>
            </w:tcMar>
            <w:vAlign w:val="center"/>
          </w:tcPr>
          <w:p>
            <w:pPr>
              <w:pStyle w:val="38"/>
              <w:bidi w:val="0"/>
              <w:rPr>
                <w:rFonts w:hint="default" w:eastAsia="宋体"/>
                <w:b/>
                <w:bCs/>
                <w:color w:val="FFFFFF"/>
                <w:lang w:val="en-US" w:eastAsia="zh-CN"/>
              </w:rPr>
            </w:pPr>
            <w:r>
              <w:rPr>
                <w:rFonts w:hint="eastAsia"/>
                <w:b/>
                <w:bCs/>
                <w:color w:val="FFFFFF"/>
                <w:lang w:val="en-US" w:eastAsia="zh-CN"/>
              </w:rPr>
              <w:t>总人数</w:t>
            </w:r>
          </w:p>
        </w:tc>
        <w:tc>
          <w:tcPr>
            <w:tcW w:w="998" w:type="pct"/>
            <w:shd w:val="clear" w:color="auto" w:fill="548DD4"/>
            <w:noWrap w:val="0"/>
            <w:tcMar>
              <w:top w:w="8" w:type="dxa"/>
              <w:left w:w="8" w:type="dxa"/>
              <w:right w:w="8" w:type="dxa"/>
            </w:tcMar>
            <w:vAlign w:val="center"/>
          </w:tcPr>
          <w:p>
            <w:pPr>
              <w:pStyle w:val="38"/>
              <w:bidi w:val="0"/>
              <w:rPr>
                <w:rFonts w:hint="default"/>
                <w:b/>
                <w:bCs/>
                <w:color w:val="FFFFFF"/>
                <w:lang w:val="en-US" w:eastAsia="zh-CN"/>
              </w:rPr>
            </w:pPr>
            <w:r>
              <w:rPr>
                <w:rFonts w:hint="eastAsia"/>
                <w:b/>
                <w:bCs/>
                <w:color w:val="FFFFFF"/>
                <w:lang w:val="en-US" w:eastAsia="zh-CN"/>
              </w:rPr>
              <w:t>回流人数</w:t>
            </w:r>
          </w:p>
        </w:tc>
        <w:tc>
          <w:tcPr>
            <w:tcW w:w="998" w:type="pct"/>
            <w:shd w:val="clear" w:color="auto" w:fill="548DD4"/>
            <w:noWrap w:val="0"/>
            <w:tcMar>
              <w:top w:w="8" w:type="dxa"/>
              <w:left w:w="8" w:type="dxa"/>
              <w:right w:w="8" w:type="dxa"/>
            </w:tcMar>
            <w:vAlign w:val="center"/>
          </w:tcPr>
          <w:p>
            <w:pPr>
              <w:pStyle w:val="38"/>
              <w:bidi w:val="0"/>
              <w:jc w:val="center"/>
              <w:rPr>
                <w:rFonts w:hint="default" w:eastAsia="宋体"/>
                <w:b/>
                <w:bCs/>
                <w:color w:val="FFFFFF"/>
                <w:lang w:val="en-US" w:eastAsia="zh-CN"/>
              </w:rPr>
            </w:pPr>
            <w:r>
              <w:rPr>
                <w:rFonts w:hint="eastAsia"/>
                <w:b/>
                <w:bCs/>
                <w:color w:val="FFFFFF"/>
                <w:lang w:val="en-US" w:eastAsia="zh-CN"/>
              </w:rPr>
              <w:t>回流比例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19社招班</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舞蹈学院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综合艺术学院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240</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戏剧学院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126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41</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戏曲学院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5</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新闻传媒学院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83</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美术学院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382</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69</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04" w:type="pct"/>
            <w:noWrap w:val="0"/>
            <w:tcMar>
              <w:top w:w="8" w:type="dxa"/>
              <w:left w:w="8" w:type="dxa"/>
              <w:right w:w="8" w:type="dxa"/>
            </w:tcMar>
            <w:vAlign w:val="center"/>
          </w:tcPr>
          <w:p>
            <w:pPr>
              <w:pStyle w:val="38"/>
              <w:bidi w:val="0"/>
              <w:ind w:firstLine="0" w:firstLineChars="0"/>
              <w:rPr>
                <w:rFonts w:hint="eastAsia"/>
                <w:lang w:val="en-US" w:eastAsia="zh-CN"/>
              </w:rPr>
            </w:pPr>
            <w:r>
              <w:rPr>
                <w:rFonts w:hint="default"/>
                <w:lang w:val="en-US" w:eastAsia="zh-CN"/>
              </w:rPr>
              <w:t>音乐学院</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196</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27</w:t>
            </w:r>
          </w:p>
        </w:tc>
        <w:tc>
          <w:tcPr>
            <w:tcW w:w="998" w:type="pct"/>
            <w:noWrap w:val="0"/>
            <w:tcMar>
              <w:top w:w="8" w:type="dxa"/>
              <w:left w:w="8" w:type="dxa"/>
              <w:right w:w="8" w:type="dxa"/>
            </w:tcMar>
            <w:vAlign w:val="center"/>
          </w:tcPr>
          <w:p>
            <w:pPr>
              <w:pStyle w:val="38"/>
              <w:bidi w:val="0"/>
              <w:ind w:firstLine="0" w:firstLineChars="0"/>
              <w:rPr>
                <w:rFonts w:hint="eastAsia"/>
                <w:lang w:val="en-US" w:eastAsia="zh-CN"/>
              </w:rPr>
            </w:pPr>
            <w:r>
              <w:rPr>
                <w:rFonts w:hint="eastAsia"/>
                <w:lang w:val="en-US" w:eastAsia="zh-CN"/>
              </w:rPr>
              <w:t>13.78%</w:t>
            </w:r>
          </w:p>
        </w:tc>
      </w:tr>
    </w:tbl>
    <w:p>
      <w:pPr>
        <w:bidi w:val="0"/>
        <w:rPr>
          <w:rFonts w:hint="eastAsia"/>
          <w:lang w:val="en-US" w:eastAsia="zh-CN"/>
        </w:rPr>
      </w:pPr>
    </w:p>
    <w:bookmarkEnd w:id="79"/>
    <w:bookmarkEnd w:id="86"/>
    <w:bookmarkEnd w:id="87"/>
    <w:p>
      <w:pPr>
        <w:pStyle w:val="2"/>
        <w:bidi w:val="0"/>
        <w:rPr>
          <w:rFonts w:hint="eastAsia"/>
        </w:rPr>
      </w:pPr>
      <w:bookmarkStart w:id="124" w:name="_Toc18411"/>
      <w:r>
        <w:rPr>
          <w:rFonts w:hint="eastAsia"/>
        </w:rPr>
        <w:t>第</w:t>
      </w:r>
      <w:r>
        <w:rPr>
          <w:rFonts w:hint="eastAsia"/>
          <w:lang w:val="en-US" w:eastAsia="zh-CN"/>
        </w:rPr>
        <w:t>四</w:t>
      </w:r>
      <w:r>
        <w:rPr>
          <w:rFonts w:hint="eastAsia"/>
        </w:rPr>
        <w:t xml:space="preserve">部分 </w:t>
      </w:r>
      <w:r>
        <w:rPr>
          <w:rFonts w:hint="eastAsia"/>
          <w:lang w:eastAsia="zh-CN"/>
        </w:rPr>
        <w:t>毕业生</w:t>
      </w:r>
      <w:r>
        <w:rPr>
          <w:rFonts w:hint="eastAsia"/>
          <w:lang w:val="en-US" w:eastAsia="zh-CN"/>
        </w:rPr>
        <w:t>升学</w:t>
      </w:r>
      <w:r>
        <w:rPr>
          <w:rFonts w:hint="eastAsia"/>
        </w:rPr>
        <w:t>情况</w:t>
      </w:r>
      <w:bookmarkEnd w:id="124"/>
    </w:p>
    <w:p>
      <w:pPr>
        <w:bidi w:val="0"/>
        <w:rPr>
          <w:rFonts w:hint="eastAsia"/>
          <w:highlight w:val="none"/>
          <w:lang w:val="en-US" w:eastAsia="zh-CN"/>
        </w:rPr>
      </w:pPr>
      <w:r>
        <w:rPr>
          <w:rFonts w:hint="eastAsia"/>
          <w:highlight w:val="none"/>
          <w:lang w:val="en-US" w:eastAsia="zh-CN"/>
        </w:rPr>
        <w:t>升学率包含毕业生国内升学（专升本、</w:t>
      </w:r>
      <w:r>
        <w:rPr>
          <w:rFonts w:hint="eastAsia" w:ascii="宋体" w:hAnsi="宋体" w:cs="宋体"/>
          <w:highlight w:val="none"/>
          <w:lang w:val="en-US" w:eastAsia="zh-CN"/>
        </w:rPr>
        <w:t>考取研究生</w:t>
      </w:r>
      <w:r>
        <w:rPr>
          <w:rFonts w:hint="eastAsia"/>
          <w:highlight w:val="none"/>
          <w:lang w:val="en-US" w:eastAsia="zh-CN"/>
        </w:rPr>
        <w:t>和硕士升博）和出国出境（升学非就业），我校毕业生升学以专升本为主，2022届毕业生共有473升学，其中471人专升本，2名人在国（境）外继续学习，全部升学毕业生占全部毕业生的33.69%。全校升学各专项统计如下：</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国内升学率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val="en-US" w:eastAsia="zh-CN"/>
              </w:rPr>
              <w:t>国内升学率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94</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382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176</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戏剧学院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126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44</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戏曲学院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17</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新闻传媒学院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83</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23</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综合艺术学院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240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56</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舞蹈学院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330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71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19社招班</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30</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6.67%</w:t>
            </w:r>
          </w:p>
        </w:tc>
      </w:tr>
    </w:tbl>
    <w:p>
      <w:pPr>
        <w:bidi w:val="0"/>
        <w:rPr>
          <w:rFonts w:hint="eastAsia"/>
          <w:highlight w:val="none"/>
          <w:lang w:val="en-US" w:eastAsia="zh-CN"/>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w:t>
      </w:r>
      <w:r>
        <w:rPr>
          <w:rFonts w:hint="eastAsia" w:ascii="宋体" w:hAnsi="宋体" w:cs="宋体"/>
          <w:kern w:val="2"/>
          <w:sz w:val="21"/>
          <w:szCs w:val="21"/>
          <w:lang w:val="en-US" w:eastAsia="zh-CN" w:bidi="ar-SA"/>
        </w:rPr>
        <w:t>困难生群体升学率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val="en-US" w:eastAsia="zh-CN"/>
              </w:rPr>
              <w:t>国内升学率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音乐学院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9</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64.29%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戏剧学院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6</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美术学院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14</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新闻传媒学院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舞蹈学院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6</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417" w:type="dxa"/>
            <w:shd w:val="clear" w:color="auto" w:fill="FFFFFF"/>
            <w:noWrap w:val="0"/>
            <w:tcMar>
              <w:top w:w="8" w:type="dxa"/>
              <w:left w:w="8" w:type="dxa"/>
              <w:right w:w="8" w:type="dxa"/>
            </w:tcMar>
            <w:vAlign w:val="center"/>
          </w:tcPr>
          <w:p>
            <w:pPr>
              <w:bidi w:val="0"/>
              <w:spacing w:line="240" w:lineRule="auto"/>
              <w:ind w:firstLine="420" w:firstLineChars="200"/>
              <w:jc w:val="center"/>
            </w:pPr>
            <w:r>
              <w:rPr>
                <w:rFonts w:hint="default" w:ascii="宋体" w:hAnsi="宋体" w:eastAsia="宋体" w:cs="宋体"/>
                <w:kern w:val="2"/>
                <w:sz w:val="21"/>
                <w:szCs w:val="21"/>
                <w:lang w:val="en-US" w:eastAsia="zh-CN" w:bidi="ar-SA"/>
              </w:rPr>
              <w:t>综合艺术学院</w:t>
            </w:r>
          </w:p>
        </w:tc>
        <w:tc>
          <w:tcPr>
            <w:tcW w:w="1477"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5</w:t>
            </w:r>
          </w:p>
        </w:tc>
        <w:tc>
          <w:tcPr>
            <w:tcW w:w="1361" w:type="dxa"/>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23.81%</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出国出境率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7"/>
        <w:gridCol w:w="1477"/>
        <w:gridCol w:w="1358"/>
        <w:gridCol w:w="135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pct"/>
          <w:trHeight w:val="397" w:hRule="atLeast"/>
          <w:tblHeader/>
        </w:trPr>
        <w:tc>
          <w:tcPr>
            <w:tcW w:w="2564" w:type="pct"/>
            <w:vMerge w:val="restart"/>
            <w:shd w:val="clear" w:color="auto" w:fill="4F81BD"/>
            <w:noWrap w:val="0"/>
            <w:tcMar>
              <w:top w:w="8" w:type="dxa"/>
              <w:left w:w="8" w:type="dxa"/>
              <w:right w:w="8" w:type="dxa"/>
            </w:tcMar>
            <w:vAlign w:val="center"/>
          </w:tcPr>
          <w:p>
            <w:pPr>
              <w:pStyle w:val="38"/>
              <w:rPr>
                <w:rFonts w:hint="eastAsia" w:eastAsia="宋体"/>
                <w:b/>
                <w:bCs/>
                <w:color w:val="FFFFFF"/>
                <w:lang w:eastAsia="zh-CN"/>
              </w:rPr>
            </w:pPr>
            <w:r>
              <w:rPr>
                <w:rFonts w:hint="eastAsia"/>
                <w:b/>
                <w:bCs/>
                <w:color w:val="FFFFFF"/>
                <w:lang w:eastAsia="zh-CN"/>
              </w:rPr>
              <w:t>学院名称</w:t>
            </w:r>
          </w:p>
        </w:tc>
        <w:tc>
          <w:tcPr>
            <w:tcW w:w="857" w:type="pct"/>
            <w:vMerge w:val="restart"/>
            <w:shd w:val="clear" w:color="auto" w:fill="4F81BD"/>
            <w:noWrap w:val="0"/>
            <w:tcMar>
              <w:top w:w="8" w:type="dxa"/>
              <w:left w:w="8" w:type="dxa"/>
              <w:right w:w="8" w:type="dxa"/>
            </w:tcMar>
            <w:vAlign w:val="center"/>
          </w:tcPr>
          <w:p>
            <w:pPr>
              <w:pStyle w:val="38"/>
              <w:rPr>
                <w:b/>
                <w:bCs/>
                <w:color w:val="FFFFFF"/>
              </w:rPr>
            </w:pPr>
            <w:r>
              <w:rPr>
                <w:rFonts w:hint="eastAsia"/>
                <w:b/>
                <w:bCs/>
                <w:color w:val="FFFFFF"/>
              </w:rPr>
              <w:t>总人数</w:t>
            </w:r>
          </w:p>
        </w:tc>
        <w:tc>
          <w:tcPr>
            <w:tcW w:w="1574" w:type="pct"/>
            <w:gridSpan w:val="2"/>
            <w:shd w:val="clear" w:color="auto" w:fill="4F81BD"/>
            <w:noWrap w:val="0"/>
            <w:tcMar>
              <w:top w:w="8" w:type="dxa"/>
              <w:left w:w="8" w:type="dxa"/>
              <w:right w:w="8" w:type="dxa"/>
            </w:tcMar>
            <w:vAlign w:val="center"/>
          </w:tcPr>
          <w:p>
            <w:pPr>
              <w:pStyle w:val="38"/>
              <w:rPr>
                <w:rFonts w:hint="eastAsia"/>
                <w:b/>
                <w:bCs/>
                <w:color w:val="FFFFFF"/>
                <w:lang w:eastAsia="zh-CN"/>
              </w:rPr>
            </w:pPr>
            <w:r>
              <w:rPr>
                <w:rFonts w:hint="eastAsia"/>
                <w:b/>
                <w:bCs/>
                <w:color w:val="FFFFFF"/>
                <w:lang w:val="en-US" w:eastAsia="zh-CN"/>
              </w:rPr>
              <w:t>出国出境率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564" w:type="pct"/>
            <w:vMerge w:val="continue"/>
            <w:shd w:val="clear" w:color="auto" w:fill="4F81BD"/>
            <w:noWrap w:val="0"/>
            <w:tcMar>
              <w:top w:w="8" w:type="dxa"/>
              <w:left w:w="8" w:type="dxa"/>
              <w:right w:w="8" w:type="dxa"/>
            </w:tcMar>
            <w:vAlign w:val="center"/>
          </w:tcPr>
          <w:p>
            <w:pPr>
              <w:pStyle w:val="38"/>
              <w:rPr>
                <w:b/>
                <w:bCs/>
                <w:color w:val="FFFFFF"/>
              </w:rPr>
            </w:pPr>
          </w:p>
        </w:tc>
        <w:tc>
          <w:tcPr>
            <w:tcW w:w="857" w:type="pct"/>
            <w:vMerge w:val="continue"/>
            <w:shd w:val="clear" w:color="auto" w:fill="4F81BD"/>
            <w:noWrap w:val="0"/>
            <w:tcMar>
              <w:top w:w="8" w:type="dxa"/>
              <w:left w:w="8" w:type="dxa"/>
              <w:right w:w="8" w:type="dxa"/>
            </w:tcMar>
            <w:vAlign w:val="center"/>
          </w:tcPr>
          <w:p>
            <w:pPr>
              <w:pStyle w:val="38"/>
              <w:rPr>
                <w:b/>
                <w:bCs/>
                <w:color w:val="FFFFFF"/>
              </w:rPr>
            </w:pPr>
          </w:p>
        </w:tc>
        <w:tc>
          <w:tcPr>
            <w:tcW w:w="788" w:type="pct"/>
            <w:shd w:val="clear" w:color="auto" w:fill="4F81BD"/>
            <w:noWrap w:val="0"/>
            <w:tcMar>
              <w:top w:w="8" w:type="dxa"/>
              <w:left w:w="8" w:type="dxa"/>
              <w:right w:w="8" w:type="dxa"/>
            </w:tcMar>
            <w:vAlign w:val="center"/>
          </w:tcPr>
          <w:p>
            <w:pPr>
              <w:pStyle w:val="38"/>
              <w:rPr>
                <w:b/>
                <w:bCs/>
                <w:color w:val="FFFFFF"/>
              </w:rPr>
            </w:pPr>
            <w:r>
              <w:rPr>
                <w:b/>
                <w:bCs/>
                <w:color w:val="FFFFFF"/>
              </w:rPr>
              <w:t>人数</w:t>
            </w:r>
          </w:p>
        </w:tc>
        <w:tc>
          <w:tcPr>
            <w:tcW w:w="789" w:type="pct"/>
            <w:gridSpan w:val="2"/>
            <w:shd w:val="clear" w:color="auto" w:fill="4F81BD"/>
            <w:noWrap w:val="0"/>
            <w:tcMar>
              <w:top w:w="8" w:type="dxa"/>
              <w:left w:w="8" w:type="dxa"/>
              <w:right w:w="8" w:type="dxa"/>
            </w:tcMar>
            <w:vAlign w:val="center"/>
          </w:tcPr>
          <w:p>
            <w:pPr>
              <w:pStyle w:val="38"/>
              <w:rPr>
                <w:b/>
                <w:bCs/>
                <w:color w:val="FFFFFF"/>
              </w:rPr>
            </w:pPr>
            <w:r>
              <w:rPr>
                <w:b/>
                <w:bCs/>
                <w:color w:val="FFFFFF"/>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音乐学院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196</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564" w:type="pct"/>
            <w:shd w:val="clear" w:color="auto" w:fill="FFFFFF"/>
            <w:noWrap w:val="0"/>
            <w:tcMar>
              <w:top w:w="8" w:type="dxa"/>
              <w:left w:w="8" w:type="dxa"/>
              <w:right w:w="8" w:type="dxa"/>
            </w:tcMar>
            <w:vAlign w:val="center"/>
          </w:tcPr>
          <w:p>
            <w:pPr>
              <w:bidi w:val="0"/>
              <w:spacing w:line="240" w:lineRule="auto"/>
              <w:jc w:val="center"/>
            </w:pPr>
            <w:r>
              <w:rPr>
                <w:rFonts w:hint="default" w:ascii="宋体" w:hAnsi="宋体" w:eastAsia="宋体" w:cs="宋体"/>
                <w:kern w:val="2"/>
                <w:sz w:val="21"/>
                <w:szCs w:val="21"/>
                <w:lang w:val="en-US" w:eastAsia="zh-CN" w:bidi="ar-SA"/>
              </w:rPr>
              <w:t>美术学院</w:t>
            </w:r>
          </w:p>
        </w:tc>
        <w:tc>
          <w:tcPr>
            <w:tcW w:w="857"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382</w:t>
            </w:r>
          </w:p>
        </w:tc>
        <w:tc>
          <w:tcPr>
            <w:tcW w:w="788" w:type="pct"/>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1</w:t>
            </w:r>
          </w:p>
        </w:tc>
        <w:tc>
          <w:tcPr>
            <w:tcW w:w="789" w:type="pct"/>
            <w:gridSpan w:val="2"/>
            <w:shd w:val="clear" w:color="auto" w:fill="FFFFFF"/>
            <w:noWrap w:val="0"/>
            <w:tcMar>
              <w:top w:w="8" w:type="dxa"/>
              <w:left w:w="8" w:type="dxa"/>
              <w:right w:w="8" w:type="dxa"/>
            </w:tcMar>
            <w:vAlign w:val="center"/>
          </w:tcPr>
          <w:p>
            <w:pPr>
              <w:bidi w:val="0"/>
              <w:spacing w:line="240" w:lineRule="auto"/>
              <w:ind w:left="0" w:leftChars="0" w:firstLine="0" w:firstLineChars="0"/>
              <w:jc w:val="center"/>
            </w:pPr>
            <w:r>
              <w:rPr>
                <w:rFonts w:hint="eastAsia" w:ascii="宋体" w:hAnsi="宋体" w:eastAsia="宋体" w:cs="宋体"/>
                <w:kern w:val="2"/>
                <w:sz w:val="21"/>
                <w:szCs w:val="21"/>
                <w:lang w:val="en-US" w:eastAsia="zh-CN" w:bidi="ar-SA"/>
              </w:rPr>
              <w:t>0.26%</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 xml:space="preserve"> </w:t>
      </w:r>
      <w:r>
        <w:rPr>
          <w:rFonts w:hint="eastAsia" w:ascii="宋体" w:hAnsi="宋体" w:cs="宋体"/>
          <w:kern w:val="2"/>
          <w:sz w:val="21"/>
          <w:szCs w:val="21"/>
          <w:lang w:val="en-US" w:eastAsia="zh-CN" w:bidi="ar-SA"/>
        </w:rPr>
        <w:t>2022</w:t>
      </w:r>
      <w:r>
        <w:rPr>
          <w:rFonts w:hint="eastAsia" w:ascii="宋体" w:hAnsi="宋体" w:eastAsia="宋体" w:cs="宋体"/>
          <w:kern w:val="2"/>
          <w:sz w:val="21"/>
          <w:szCs w:val="21"/>
          <w:lang w:val="en-US" w:eastAsia="zh-CN" w:bidi="ar-SA"/>
        </w:rPr>
        <w:t>届</w:t>
      </w:r>
      <w:r>
        <w:rPr>
          <w:rFonts w:hint="eastAsia" w:ascii="宋体" w:hAnsi="宋体" w:cs="宋体"/>
          <w:kern w:val="2"/>
          <w:sz w:val="21"/>
          <w:szCs w:val="21"/>
          <w:lang w:val="en-US" w:eastAsia="zh-CN" w:bidi="ar-SA"/>
        </w:rPr>
        <w:t>专科生升本入学情况表</w:t>
      </w:r>
    </w:p>
    <w:tbl>
      <w:tblPr>
        <w:tblStyle w:val="17"/>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5"/>
        <w:gridCol w:w="1395"/>
        <w:gridCol w:w="135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专业名称</w:t>
            </w:r>
          </w:p>
        </w:tc>
        <w:tc>
          <w:tcPr>
            <w:tcW w:w="1395" w:type="dxa"/>
            <w:vMerge w:val="restart"/>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总人数</w:t>
            </w:r>
          </w:p>
        </w:tc>
        <w:tc>
          <w:tcPr>
            <w:tcW w:w="2746" w:type="dxa"/>
            <w:gridSpan w:val="2"/>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专升本率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95" w:type="dxa"/>
            <w:vMerge w:val="continue"/>
            <w:shd w:val="clear" w:color="auto" w:fill="548DD4"/>
            <w:noWrap w:val="0"/>
            <w:tcMar>
              <w:top w:w="8" w:type="dxa"/>
              <w:left w:w="8" w:type="dxa"/>
              <w:right w:w="8" w:type="dxa"/>
            </w:tcMar>
            <w:vAlign w:val="center"/>
          </w:tcPr>
          <w:p>
            <w:pPr>
              <w:pStyle w:val="38"/>
              <w:bidi w:val="0"/>
              <w:rPr>
                <w:rFonts w:hint="eastAsia"/>
                <w:b/>
                <w:bCs/>
                <w:color w:val="FFFFFF"/>
              </w:rPr>
            </w:pPr>
          </w:p>
        </w:tc>
        <w:tc>
          <w:tcPr>
            <w:tcW w:w="135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人数</w:t>
            </w:r>
          </w:p>
        </w:tc>
        <w:tc>
          <w:tcPr>
            <w:tcW w:w="1388" w:type="dxa"/>
            <w:shd w:val="clear" w:color="auto" w:fill="548DD4"/>
            <w:noWrap w:val="0"/>
            <w:tcMar>
              <w:top w:w="8" w:type="dxa"/>
              <w:left w:w="8" w:type="dxa"/>
              <w:right w:w="8" w:type="dxa"/>
            </w:tcMar>
            <w:vAlign w:val="center"/>
          </w:tcPr>
          <w:p>
            <w:pPr>
              <w:pStyle w:val="38"/>
              <w:bidi w:val="0"/>
              <w:rPr>
                <w:rFonts w:hint="eastAsia"/>
                <w:b/>
                <w:bCs/>
                <w:color w:val="FFFFFF"/>
              </w:rPr>
            </w:pPr>
            <w:r>
              <w:rPr>
                <w:rFonts w:hint="eastAsia"/>
                <w:b/>
                <w:bCs/>
                <w:color w:val="FFFFFF"/>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表演艺术类</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数字媒体艺术设计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38</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环境艺术设计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55</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动漫设计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艺术设计(公共)</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服装与服饰设计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音乐表演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209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96</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影视编导</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51</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20</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135</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52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雕刻艺术设计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戏剧影视表演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美术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29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10</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戏曲表演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12</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艺术设计(平面)</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表演艺术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104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32</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播音与主持</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87</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23</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国际标准舞</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150</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摄影摄像技术</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4</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舞蹈表演</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189</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38</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空中乘务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54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10</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高速铁路客运乘务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64</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9</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495" w:type="dxa"/>
            <w:shd w:val="clear" w:color="auto" w:fill="FFFFFF"/>
            <w:noWrap w:val="0"/>
            <w:tcMar>
              <w:top w:w="8" w:type="dxa"/>
              <w:left w:w="8" w:type="dxa"/>
              <w:right w:w="8" w:type="dxa"/>
            </w:tcMar>
            <w:vAlign w:val="center"/>
          </w:tcPr>
          <w:p>
            <w:pPr>
              <w:bidi w:val="0"/>
              <w:spacing w:line="240" w:lineRule="auto"/>
              <w:ind w:firstLine="420" w:firstLineChars="200"/>
              <w:jc w:val="center"/>
              <w:rPr>
                <w:rFonts w:hint="eastAsia"/>
              </w:rPr>
            </w:pPr>
            <w:r>
              <w:rPr>
                <w:rFonts w:hint="default" w:ascii="宋体" w:hAnsi="宋体" w:eastAsia="宋体" w:cs="宋体"/>
                <w:kern w:val="2"/>
                <w:sz w:val="21"/>
                <w:szCs w:val="21"/>
                <w:lang w:val="en-US" w:eastAsia="zh-CN" w:bidi="ar-SA"/>
              </w:rPr>
              <w:t>人物形象设计</w:t>
            </w:r>
          </w:p>
        </w:tc>
        <w:tc>
          <w:tcPr>
            <w:tcW w:w="1395"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rPr>
            </w:pPr>
            <w:r>
              <w:rPr>
                <w:rFonts w:hint="eastAsia" w:ascii="宋体" w:hAnsi="宋体" w:eastAsia="宋体" w:cs="宋体"/>
                <w:kern w:val="2"/>
                <w:sz w:val="21"/>
                <w:szCs w:val="21"/>
                <w:lang w:val="en-US" w:eastAsia="zh-CN" w:bidi="ar-SA"/>
              </w:rPr>
              <w:t>13</w:t>
            </w:r>
          </w:p>
        </w:tc>
        <w:tc>
          <w:tcPr>
            <w:tcW w:w="135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1</w:t>
            </w:r>
          </w:p>
        </w:tc>
        <w:tc>
          <w:tcPr>
            <w:tcW w:w="1388" w:type="dxa"/>
            <w:shd w:val="clear" w:color="auto" w:fill="FFFFFF"/>
            <w:noWrap w:val="0"/>
            <w:tcMar>
              <w:top w:w="8" w:type="dxa"/>
              <w:left w:w="8" w:type="dxa"/>
              <w:right w:w="8" w:type="dxa"/>
            </w:tcMar>
            <w:vAlign w:val="center"/>
          </w:tcPr>
          <w:p>
            <w:pPr>
              <w:bidi w:val="0"/>
              <w:spacing w:line="240" w:lineRule="auto"/>
              <w:ind w:left="0" w:leftChars="0" w:firstLine="0" w:firstLineChars="0"/>
              <w:jc w:val="center"/>
              <w:rPr>
                <w:rFonts w:hint="eastAsia" w:eastAsia="宋体"/>
                <w:lang w:val="en-US" w:eastAsia="zh-CN"/>
              </w:rPr>
            </w:pPr>
            <w:r>
              <w:rPr>
                <w:rFonts w:hint="eastAsia" w:ascii="宋体" w:hAnsi="宋体" w:eastAsia="宋体" w:cs="宋体"/>
                <w:kern w:val="2"/>
                <w:sz w:val="21"/>
                <w:szCs w:val="21"/>
                <w:lang w:val="en-US" w:eastAsia="zh-CN" w:bidi="ar-SA"/>
              </w:rPr>
              <w:t>7.69%</w:t>
            </w:r>
          </w:p>
        </w:tc>
      </w:tr>
    </w:tbl>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p>
    <w:p>
      <w:pPr>
        <w:pStyle w:val="2"/>
        <w:bidi w:val="0"/>
        <w:rPr>
          <w:rFonts w:hint="default"/>
          <w:lang w:val="en-US" w:eastAsia="zh-CN"/>
        </w:rPr>
      </w:pPr>
      <w:bookmarkStart w:id="125" w:name="_Toc24365"/>
      <w:bookmarkStart w:id="126" w:name="_Toc25252"/>
      <w:bookmarkStart w:id="127" w:name="_Toc13156"/>
      <w:bookmarkStart w:id="128" w:name="_Toc3238"/>
      <w:bookmarkStart w:id="129" w:name="_Toc21201"/>
      <w:bookmarkStart w:id="130" w:name="_Toc19528"/>
      <w:r>
        <w:rPr>
          <w:rFonts w:hint="eastAsia"/>
          <w:lang w:val="en-US" w:eastAsia="zh-CN"/>
        </w:rPr>
        <w:t xml:space="preserve">第五部分 </w:t>
      </w:r>
      <w:bookmarkEnd w:id="125"/>
      <w:bookmarkEnd w:id="126"/>
      <w:r>
        <w:rPr>
          <w:rFonts w:hint="eastAsia"/>
          <w:lang w:val="en-US" w:eastAsia="zh-CN"/>
        </w:rPr>
        <w:t>毕业生</w:t>
      </w:r>
      <w:bookmarkEnd w:id="127"/>
      <w:r>
        <w:rPr>
          <w:rFonts w:hint="eastAsia"/>
          <w:lang w:val="en-US" w:eastAsia="zh-CN"/>
        </w:rPr>
        <w:t>对教育教学的反馈</w:t>
      </w:r>
      <w:bookmarkEnd w:id="128"/>
      <w:bookmarkEnd w:id="129"/>
      <w:bookmarkEnd w:id="130"/>
    </w:p>
    <w:p>
      <w:pPr>
        <w:bidi w:val="0"/>
        <w:jc w:val="left"/>
        <w:rPr>
          <w:rFonts w:hint="eastAsia"/>
          <w:lang w:val="en-US" w:eastAsia="zh-CN"/>
        </w:rPr>
      </w:pPr>
      <w:bookmarkStart w:id="131" w:name="_Toc26240"/>
      <w:bookmarkStart w:id="132" w:name="_Toc18877"/>
      <w:r>
        <w:rPr>
          <w:rFonts w:hint="eastAsia"/>
          <w:lang w:val="en-US" w:eastAsia="zh-CN"/>
        </w:rPr>
        <w:t>截止2022年7月10日，安徽艺术职业学院2022届毕业生离校后，经对818名毕业生所做的调查显示，被调查毕业生数占毕业生总人数的58.26%，毕业生对母校总体满意度高，对学校总体满意度为97.07%。各学院参与调研情况如表：</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2022届毕业生参与调查学院分布情况表</w:t>
      </w:r>
    </w:p>
    <w:tbl>
      <w:tblPr>
        <w:tblStyle w:val="17"/>
        <w:tblW w:w="4998" w:type="pct"/>
        <w:jc w:val="center"/>
        <w:tblLayout w:type="autofit"/>
        <w:tblCellMar>
          <w:top w:w="15" w:type="dxa"/>
          <w:left w:w="15" w:type="dxa"/>
          <w:bottom w:w="15" w:type="dxa"/>
          <w:right w:w="15" w:type="dxa"/>
        </w:tblCellMar>
      </w:tblPr>
      <w:tblGrid>
        <w:gridCol w:w="3627"/>
        <w:gridCol w:w="1666"/>
        <w:gridCol w:w="1666"/>
        <w:gridCol w:w="1668"/>
      </w:tblGrid>
      <w:tr>
        <w:tblPrEx>
          <w:tblCellMar>
            <w:top w:w="15" w:type="dxa"/>
            <w:left w:w="15" w:type="dxa"/>
            <w:bottom w:w="15" w:type="dxa"/>
            <w:right w:w="15" w:type="dxa"/>
          </w:tblCellMar>
        </w:tblPrEx>
        <w:trPr>
          <w:trHeight w:val="567" w:hRule="atLeast"/>
          <w:jc w:val="center"/>
        </w:trPr>
        <w:tc>
          <w:tcPr>
            <w:tcW w:w="362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学院名称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总人数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投票数</w:t>
            </w:r>
          </w:p>
        </w:tc>
        <w:tc>
          <w:tcPr>
            <w:tcW w:w="1668"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rPr>
            </w:pPr>
            <w:r>
              <w:rPr>
                <w:rFonts w:hint="eastAsia"/>
                <w:b/>
                <w:bCs/>
                <w:color w:val="FFFFFF"/>
                <w:lang w:val="en-US" w:eastAsia="zh-CN"/>
              </w:rPr>
              <w:t>投票率</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19社招班</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6.67%</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58.12%</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175</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53.03%</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126</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80</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63.49%</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70.59%</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新闻传媒学院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26.51%</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196</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70.92%</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综合艺术学院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69.17%</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2022届毕业生参与调查</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3627"/>
        <w:gridCol w:w="1666"/>
        <w:gridCol w:w="1666"/>
        <w:gridCol w:w="1668"/>
      </w:tblGrid>
      <w:tr>
        <w:tblPrEx>
          <w:tblCellMar>
            <w:top w:w="15" w:type="dxa"/>
            <w:left w:w="15" w:type="dxa"/>
            <w:bottom w:w="15" w:type="dxa"/>
            <w:right w:w="15" w:type="dxa"/>
          </w:tblCellMar>
        </w:tblPrEx>
        <w:trPr>
          <w:trHeight w:val="567" w:hRule="atLeast"/>
          <w:jc w:val="center"/>
        </w:trPr>
        <w:tc>
          <w:tcPr>
            <w:tcW w:w="362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总人数</w:t>
            </w:r>
          </w:p>
        </w:tc>
        <w:tc>
          <w:tcPr>
            <w:tcW w:w="1666"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投票数</w:t>
            </w:r>
          </w:p>
        </w:tc>
        <w:tc>
          <w:tcPr>
            <w:tcW w:w="1668"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投票率</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表演艺术</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56</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表演艺术类</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播音与主持</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87</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25.29%</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雕刻艺术设计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动漫设计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61.90%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服装与服饰设计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91.30%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高速铁路客运乘务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84.38%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国际标准舞</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150</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48.67%</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环境艺术设计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107</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57.01%</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空中乘务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83.33%</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44.83%</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人物形象设计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摄影摄像技术</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61.11%</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数字媒体艺术设计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44.74%</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189</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戏剧影视表演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39.68%</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135</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79</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58.52%</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艺术设计(公共)</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75.00%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艺术设计(平面)</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音乐表演</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209</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68.90%</w:t>
            </w:r>
          </w:p>
        </w:tc>
      </w:tr>
      <w:tr>
        <w:tblPrEx>
          <w:tblCellMar>
            <w:top w:w="15" w:type="dxa"/>
            <w:left w:w="15" w:type="dxa"/>
            <w:bottom w:w="15" w:type="dxa"/>
            <w:right w:w="15" w:type="dxa"/>
          </w:tblCellMar>
        </w:tblPrEx>
        <w:trPr>
          <w:trHeight w:val="454" w:hRule="atLeast"/>
          <w:jc w:val="center"/>
        </w:trPr>
        <w:tc>
          <w:tcPr>
            <w:tcW w:w="362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影视编导</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51</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w:t>
            </w:r>
          </w:p>
        </w:tc>
        <w:tc>
          <w:tcPr>
            <w:tcW w:w="1668"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82.35%</w:t>
            </w:r>
          </w:p>
        </w:tc>
      </w:tr>
    </w:tbl>
    <w:p>
      <w:pPr>
        <w:bidi w:val="0"/>
        <w:rPr>
          <w:rFonts w:hint="eastAsia" w:ascii="Times New Roman" w:hAnsi="Times New Roman" w:cs="Times New Roman"/>
          <w:lang w:val="en-US" w:eastAsia="zh-CN"/>
        </w:rPr>
      </w:pPr>
    </w:p>
    <w:p>
      <w:pPr>
        <w:bidi w:val="0"/>
        <w:jc w:val="left"/>
        <w:rPr>
          <w:rFonts w:hint="eastAsia"/>
          <w:lang w:val="en-US" w:eastAsia="zh-CN"/>
        </w:rPr>
      </w:pPr>
      <w:r>
        <w:rPr>
          <w:rFonts w:hint="eastAsia"/>
          <w:lang w:val="en-US" w:eastAsia="zh-CN"/>
        </w:rPr>
        <w:t>在818名参与调查的毕业生中有32.52%已落实就业单位共266人，另外求职中毕业生，共65人占比7.95%；内地升学毕业生的人占比49.02%；待就业和暂不就业意向毕业生占比3.42%，详见下图：</w:t>
      </w:r>
    </w:p>
    <w:p>
      <w:pPr>
        <w:pStyle w:val="16"/>
        <w:ind w:left="0" w:leftChars="0" w:firstLine="0" w:firstLineChars="0"/>
        <w:jc w:val="center"/>
        <w:rPr>
          <w:rFonts w:hint="eastAsia" w:ascii="宋体" w:hAnsi="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9" name="图表 19" descr="您当前的就业状况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hint="eastAsia" w:ascii="宋体" w:hAnsi="宋体" w:cs="宋体"/>
          <w:kern w:val="2"/>
          <w:sz w:val="21"/>
          <w:szCs w:val="21"/>
          <w:lang w:val="en-US" w:eastAsia="zh-CN" w:bidi="ar-SA"/>
        </w:rPr>
        <w:t>图 毕业生当前毕业去向分布</w:t>
      </w:r>
    </w:p>
    <w:p>
      <w:pPr>
        <w:pStyle w:val="3"/>
        <w:numPr>
          <w:ilvl w:val="0"/>
          <w:numId w:val="6"/>
        </w:numPr>
        <w:bidi w:val="0"/>
        <w:rPr>
          <w:rFonts w:hint="eastAsia"/>
          <w:lang w:val="en-US" w:eastAsia="zh-CN"/>
        </w:rPr>
      </w:pPr>
      <w:bookmarkStart w:id="133" w:name="_Toc7591"/>
      <w:bookmarkStart w:id="134" w:name="_Toc14223"/>
      <w:r>
        <w:rPr>
          <w:rFonts w:hint="eastAsia"/>
          <w:lang w:val="en-US" w:eastAsia="zh-CN"/>
        </w:rPr>
        <w:t>毕业生求职状况分析</w:t>
      </w:r>
      <w:bookmarkEnd w:id="131"/>
      <w:bookmarkEnd w:id="132"/>
      <w:bookmarkEnd w:id="133"/>
      <w:bookmarkEnd w:id="134"/>
    </w:p>
    <w:p>
      <w:pPr>
        <w:bidi w:val="0"/>
        <w:jc w:val="left"/>
        <w:rPr>
          <w:rFonts w:hint="eastAsia"/>
          <w:lang w:val="en-US" w:eastAsia="zh-CN"/>
        </w:rPr>
      </w:pPr>
      <w:r>
        <w:rPr>
          <w:rFonts w:hint="eastAsia"/>
          <w:lang w:val="en-US" w:eastAsia="zh-CN"/>
        </w:rPr>
        <w:t>在参与调查的毕业生共有331名毕业生填写了有关求职状况的问卷，其中已落实就业工作266人，求职中65人。</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35" w:name="_Toc28573"/>
      <w:bookmarkStart w:id="136" w:name="_Toc1789"/>
      <w:r>
        <w:rPr>
          <w:rFonts w:hint="eastAsia" w:asciiTheme="minorEastAsia" w:hAnsiTheme="minorEastAsia" w:eastAsiaTheme="minorEastAsia" w:cstheme="minorEastAsia"/>
          <w:b w:val="0"/>
          <w:bCs w:val="0"/>
          <w:lang w:val="en-US" w:eastAsia="zh-CN"/>
        </w:rPr>
        <w:t>学校提供的最有用的就业指导内容</w:t>
      </w:r>
      <w:bookmarkEnd w:id="135"/>
      <w:bookmarkEnd w:id="136"/>
    </w:p>
    <w:p>
      <w:pPr>
        <w:bidi w:val="0"/>
        <w:jc w:val="left"/>
        <w:rPr>
          <w:rFonts w:hint="eastAsia"/>
          <w:lang w:val="en-US" w:eastAsia="zh-CN"/>
        </w:rPr>
      </w:pPr>
      <w:r>
        <w:rPr>
          <w:rFonts w:hint="eastAsia"/>
          <w:lang w:val="en-US" w:eastAsia="zh-CN"/>
        </w:rPr>
        <w:t>调查数据显示，在学校提供的就业指导内容中，55.38%的毕业生认为大学生涯规划是最有用的，其次是职业发展规划的占比18.95%，然后是发布招聘需求与薪资信息的占比18.95%，接着是辅导简历写作占比5.38%，可以看出大学生涯规划和职业发展规划方面是毕业生最需要的。详见下图。</w:t>
      </w:r>
    </w:p>
    <w:p>
      <w:pPr>
        <w:pStyle w:val="16"/>
        <w:ind w:left="0" w:leftChars="0" w:firstLine="0" w:firstLineChars="0"/>
        <w:rPr>
          <w:rFonts w:hint="eastAsia"/>
          <w:lang w:val="en-US" w:eastAsia="zh-CN"/>
        </w:rPr>
      </w:pPr>
      <w:r>
        <w:rPr>
          <w:rFonts w:hint="eastAsia" w:eastAsia="宋体"/>
          <w:lang w:eastAsia="zh-CN"/>
        </w:rPr>
        <w:drawing>
          <wp:inline distT="0" distB="0" distL="114300" distR="114300">
            <wp:extent cx="5455920" cy="3791585"/>
            <wp:effectExtent l="0" t="0" r="1905" b="8890"/>
            <wp:docPr id="21" name="图表 21" descr="学校提供的最有用的就业指导内容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46"/>
        <w:spacing w:line="36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 学校提供的最有用的就业指导内容</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37" w:name="_Toc11013"/>
      <w:bookmarkStart w:id="138" w:name="_Toc14247"/>
      <w:r>
        <w:rPr>
          <w:rFonts w:hint="eastAsia" w:asciiTheme="minorEastAsia" w:hAnsiTheme="minorEastAsia" w:eastAsiaTheme="minorEastAsia" w:cstheme="minorEastAsia"/>
          <w:b w:val="0"/>
          <w:bCs w:val="0"/>
          <w:lang w:val="en-US" w:eastAsia="zh-CN"/>
        </w:rPr>
        <w:t>如何看待当前的高校就业指导</w:t>
      </w:r>
      <w:bookmarkEnd w:id="137"/>
      <w:bookmarkEnd w:id="138"/>
    </w:p>
    <w:p>
      <w:pPr>
        <w:bidi w:val="0"/>
        <w:jc w:val="left"/>
        <w:rPr>
          <w:rFonts w:hint="eastAsia"/>
          <w:lang w:val="en-US" w:eastAsia="zh-CN"/>
        </w:rPr>
      </w:pPr>
      <w:r>
        <w:rPr>
          <w:rFonts w:hint="eastAsia"/>
          <w:lang w:val="en-US" w:eastAsia="zh-CN"/>
        </w:rPr>
        <w:t>调查数据显示，在接受就业指导的毕业生中有47.07%的认为有一些作用，36.19%的认为非常实用，只有2.20%的参与调研毕业生认为没有任何作用。详见下图。</w:t>
      </w:r>
    </w:p>
    <w:p>
      <w:pPr>
        <w:pStyle w:val="16"/>
        <w:rPr>
          <w:rFonts w:hint="eastAsia"/>
          <w:lang w:val="en-US" w:eastAsia="zh-CN"/>
        </w:rPr>
      </w:pPr>
    </w:p>
    <w:p>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445760" cy="2673350"/>
            <wp:effectExtent l="0" t="0" r="2540" b="3175"/>
            <wp:docPr id="22" name="图表 22" descr="您如何看待当前的高校就业指导"/>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hint="eastAsia" w:ascii="宋体" w:hAnsi="宋体" w:cs="宋体"/>
          <w:kern w:val="2"/>
          <w:sz w:val="21"/>
          <w:szCs w:val="21"/>
          <w:lang w:val="en-US" w:eastAsia="zh-CN" w:bidi="ar-SA"/>
        </w:rPr>
        <w:t>图 如何看待当前的高校就业指导</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39" w:name="_Toc30295"/>
      <w:bookmarkStart w:id="140" w:name="_Toc5856"/>
      <w:r>
        <w:rPr>
          <w:rFonts w:hint="eastAsia" w:asciiTheme="minorEastAsia" w:hAnsiTheme="minorEastAsia" w:eastAsiaTheme="minorEastAsia" w:cstheme="minorEastAsia"/>
          <w:b w:val="0"/>
          <w:bCs w:val="0"/>
          <w:lang w:val="en-US" w:eastAsia="zh-CN"/>
        </w:rPr>
        <w:t>学校在毕业生就业方面最应加强哪些工作</w:t>
      </w:r>
      <w:bookmarkEnd w:id="139"/>
      <w:bookmarkEnd w:id="140"/>
    </w:p>
    <w:p>
      <w:pPr>
        <w:pStyle w:val="16"/>
        <w:ind w:left="0" w:leftChars="0" w:firstLine="0" w:firstLineChars="0"/>
        <w:jc w:val="center"/>
        <w:rPr>
          <w:rFonts w:hint="eastAsia" w:ascii="宋体" w:hAnsi="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06" name="图表 106" descr="您认为学校在毕业生就业方面最应加强哪些工作（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hint="eastAsia" w:ascii="宋体" w:hAnsi="宋体" w:cs="宋体"/>
          <w:kern w:val="2"/>
          <w:sz w:val="21"/>
          <w:szCs w:val="21"/>
          <w:lang w:val="en-US" w:eastAsia="zh-CN" w:bidi="ar-SA"/>
        </w:rPr>
        <w:t>图 学校在毕业生就业方面最应加强哪些工作</w:t>
      </w:r>
    </w:p>
    <w:p>
      <w:pPr>
        <w:bidi w:val="0"/>
        <w:jc w:val="left"/>
        <w:rPr>
          <w:rFonts w:hint="eastAsia"/>
          <w:lang w:val="en-US" w:eastAsia="zh-CN"/>
        </w:rPr>
      </w:pPr>
      <w:r>
        <w:rPr>
          <w:rFonts w:hint="eastAsia"/>
          <w:lang w:val="en-US" w:eastAsia="zh-CN"/>
        </w:rPr>
        <w:t>调查数据显示，提供更多的针对性就业信息是毕业生最希望学校加强的就业工作，占全部参与调研毕业生的55.75%，其次宣传解释国家和地方有关毕业生的就业政策和针对毕业生就业的个体咨询，分别占比46.82%和36.92%，详见上图。</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1" w:name="_Toc21033"/>
      <w:bookmarkStart w:id="142" w:name="_Toc6411"/>
      <w:r>
        <w:rPr>
          <w:rFonts w:hint="eastAsia" w:asciiTheme="minorEastAsia" w:hAnsiTheme="minorEastAsia" w:eastAsiaTheme="minorEastAsia" w:cstheme="minorEastAsia"/>
          <w:b w:val="0"/>
          <w:bCs w:val="0"/>
          <w:lang w:val="en-US" w:eastAsia="zh-CN"/>
        </w:rPr>
        <w:t>学校提供的就业指导与服务中，哪些最重要</w:t>
      </w:r>
      <w:bookmarkEnd w:id="141"/>
      <w:bookmarkEnd w:id="142"/>
    </w:p>
    <w:p>
      <w:pPr>
        <w:bidi w:val="0"/>
        <w:jc w:val="left"/>
        <w:rPr>
          <w:rFonts w:hint="eastAsia"/>
          <w:lang w:val="en-US" w:eastAsia="zh-CN"/>
        </w:rPr>
      </w:pPr>
      <w:r>
        <w:rPr>
          <w:rFonts w:hint="eastAsia"/>
          <w:lang w:val="en-US" w:eastAsia="zh-CN"/>
        </w:rPr>
        <w:t>调查数据显示，在学校提供的就业指导与服务中，提供准确有效的就业信息是参与调查毕业生认为是最重要的，占比60.64%；其次是组织校园招聘会和提供专业化和个性化的就业指导，分别占比占44.25%和42.30%。详见下图。</w:t>
      </w:r>
    </w:p>
    <w:p>
      <w:pPr>
        <w:bidi w:val="0"/>
        <w:ind w:left="0" w:leftChars="0" w:firstLine="0" w:firstLineChars="0"/>
        <w:jc w:val="center"/>
        <w:rPr>
          <w:rFonts w:hint="eastAsia" w:cs="Times New Roman"/>
          <w:sz w:val="21"/>
          <w:szCs w:val="21"/>
          <w:lang w:val="en-US" w:eastAsia="zh-CN"/>
        </w:rPr>
      </w:pPr>
      <w:r>
        <w:rPr>
          <w:rFonts w:hint="eastAsia" w:eastAsia="宋体"/>
          <w:lang w:eastAsia="zh-CN"/>
        </w:rPr>
        <w:drawing>
          <wp:inline distT="0" distB="0" distL="114300" distR="114300">
            <wp:extent cx="5455920" cy="3791585"/>
            <wp:effectExtent l="0" t="0" r="1905" b="8890"/>
            <wp:docPr id="107" name="图表 107" descr="学校提供的就业指导与服务中，您认为哪些最重要（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hint="eastAsia" w:ascii="宋体" w:hAnsi="宋体" w:cs="宋体"/>
          <w:kern w:val="2"/>
          <w:sz w:val="21"/>
          <w:szCs w:val="21"/>
          <w:lang w:val="en-US" w:eastAsia="zh-CN" w:bidi="ar-SA"/>
        </w:rPr>
        <w:t>图 学校提供的就业指导与服务中，哪些最重要</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3" w:name="_Toc20400"/>
      <w:bookmarkStart w:id="144" w:name="_Toc27415"/>
      <w:r>
        <w:rPr>
          <w:rFonts w:hint="eastAsia" w:asciiTheme="minorEastAsia" w:hAnsiTheme="minorEastAsia" w:eastAsiaTheme="minorEastAsia" w:cstheme="minorEastAsia"/>
          <w:b w:val="0"/>
          <w:bCs w:val="0"/>
          <w:lang w:val="en-US" w:eastAsia="zh-CN"/>
        </w:rPr>
        <w:t>学校组织的毕业实习实践主要存在哪些问题</w:t>
      </w:r>
      <w:bookmarkEnd w:id="143"/>
      <w:bookmarkEnd w:id="144"/>
    </w:p>
    <w:p>
      <w:pPr>
        <w:bidi w:val="0"/>
        <w:jc w:val="left"/>
        <w:rPr>
          <w:rFonts w:hint="eastAsia"/>
          <w:lang w:val="en-US" w:eastAsia="zh-CN"/>
        </w:rPr>
      </w:pPr>
      <w:r>
        <w:rPr>
          <w:rFonts w:hint="eastAsia"/>
          <w:lang w:val="en-US" w:eastAsia="zh-CN"/>
        </w:rPr>
        <w:t>调查数据显示，学校组织的毕业实习实践存在的问题中，可供选择的实习单位太少是被参与调研毕业生排在第一位占比40.10%，其次是对学校组织的毕业实习实践感到满意,没有问题的占比31.30%，然后是学校没有安排毕业实习或教学计划中没有毕业实习的学分要求有23.72%的毕业生选择此项。详见下图。</w:t>
      </w:r>
    </w:p>
    <w:p>
      <w:pPr>
        <w:pStyle w:val="16"/>
        <w:rPr>
          <w:rFonts w:hint="eastAsia"/>
          <w:lang w:val="en-US" w:eastAsia="zh-CN"/>
        </w:rPr>
      </w:pPr>
    </w:p>
    <w:p>
      <w:pPr>
        <w:pStyle w:val="16"/>
        <w:ind w:left="0" w:leftChars="0" w:firstLine="0" w:firstLineChars="0"/>
        <w:jc w:val="center"/>
        <w:rPr>
          <w:rFonts w:hint="eastAsia"/>
          <w:lang w:val="en-US" w:eastAsia="zh-CN"/>
        </w:rPr>
      </w:pPr>
      <w:r>
        <w:rPr>
          <w:rFonts w:hint="eastAsia" w:eastAsia="宋体"/>
          <w:lang w:eastAsia="zh-CN"/>
        </w:rPr>
        <w:drawing>
          <wp:inline distT="0" distB="0" distL="114300" distR="114300">
            <wp:extent cx="5455920" cy="3791585"/>
            <wp:effectExtent l="0" t="0" r="1905" b="8890"/>
            <wp:docPr id="108" name="图表 108" descr="您认为学校组织的毕业实习实践主要存在哪些问题（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hint="eastAsia" w:ascii="宋体" w:hAnsi="宋体" w:cs="宋体"/>
          <w:kern w:val="2"/>
          <w:sz w:val="21"/>
          <w:szCs w:val="21"/>
          <w:lang w:val="en-US" w:eastAsia="zh-CN" w:bidi="ar-SA"/>
        </w:rPr>
        <w:t>图 学校组织的毕业实习实践主要存在哪些问题</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5" w:name="_Toc1320"/>
      <w:bookmarkStart w:id="146" w:name="_Toc812"/>
      <w:r>
        <w:rPr>
          <w:rFonts w:hint="eastAsia" w:asciiTheme="minorEastAsia" w:hAnsiTheme="minorEastAsia" w:eastAsiaTheme="minorEastAsia" w:cstheme="minorEastAsia"/>
          <w:b w:val="0"/>
          <w:bCs w:val="0"/>
          <w:lang w:val="en-US" w:eastAsia="zh-CN"/>
        </w:rPr>
        <w:t>是否参与过就业技能培训</w:t>
      </w:r>
      <w:bookmarkEnd w:id="145"/>
      <w:bookmarkEnd w:id="146"/>
    </w:p>
    <w:p>
      <w:pPr>
        <w:bidi w:val="0"/>
        <w:jc w:val="left"/>
        <w:rPr>
          <w:rFonts w:hint="eastAsia"/>
          <w:lang w:val="en-US" w:eastAsia="zh-CN"/>
        </w:rPr>
      </w:pPr>
      <w:r>
        <w:rPr>
          <w:rFonts w:hint="eastAsia"/>
          <w:lang w:val="en-US" w:eastAsia="zh-CN"/>
        </w:rPr>
        <w:t>调查数据显示，在学校参与过的毕业生占比27.38%，在社会机构参与过的占比22.98%，想参与但是没有途径的毕业生占比19.68%，没参与过但准备参与的占比16.38%，其他的不准备参与的毕业生占比13.57%。详见下图。</w:t>
      </w:r>
    </w:p>
    <w:p>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445760" cy="2673350"/>
            <wp:effectExtent l="0" t="0" r="2540" b="3175"/>
            <wp:docPr id="23" name="图表 23" descr="您是否参与过就业技能培训"/>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hint="eastAsia" w:ascii="宋体" w:hAnsi="宋体" w:cs="宋体"/>
          <w:kern w:val="2"/>
          <w:sz w:val="21"/>
          <w:szCs w:val="21"/>
          <w:lang w:val="en-US" w:eastAsia="zh-CN" w:bidi="ar-SA"/>
        </w:rPr>
        <w:t>图 是否参与过就业技能培训</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7" w:name="_Toc6705"/>
      <w:bookmarkStart w:id="148" w:name="_Toc26122"/>
      <w:r>
        <w:rPr>
          <w:rFonts w:hint="eastAsia" w:asciiTheme="minorEastAsia" w:hAnsiTheme="minorEastAsia" w:eastAsiaTheme="minorEastAsia" w:cstheme="minorEastAsia"/>
          <w:b w:val="0"/>
          <w:bCs w:val="0"/>
          <w:lang w:val="en-US" w:eastAsia="zh-CN"/>
        </w:rPr>
        <w:t>目前大学生就业总体形势</w:t>
      </w:r>
      <w:bookmarkEnd w:id="147"/>
      <w:bookmarkEnd w:id="148"/>
    </w:p>
    <w:p>
      <w:pPr>
        <w:bidi w:val="0"/>
        <w:jc w:val="left"/>
        <w:rPr>
          <w:rFonts w:hint="eastAsia"/>
          <w:lang w:val="en-US" w:eastAsia="zh-CN"/>
        </w:rPr>
      </w:pPr>
      <w:r>
        <w:rPr>
          <w:rFonts w:hint="eastAsia"/>
          <w:lang w:val="en-US" w:eastAsia="zh-CN"/>
        </w:rPr>
        <w:t>调查数据显示，毕业生认为不容乐观，但通过努力可以找到工作有44.62%，其次有27.51%的毕业生认为较严峻，较难找到合适的工作，另外有4.77%的毕业生认为非常严峻，根本找不到工作，尤其从2020年以来受新冠疫情的影响，详见下图。</w:t>
      </w:r>
    </w:p>
    <w:p>
      <w:pPr>
        <w:pStyle w:val="16"/>
        <w:ind w:left="0" w:leftChars="0" w:firstLine="0" w:firstLineChars="0"/>
        <w:jc w:val="center"/>
        <w:rPr>
          <w:rFonts w:hint="eastAsia" w:ascii="宋体" w:hAnsi="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24" name="图表 24" descr="您认为目前大学生就业总体形势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hint="eastAsia" w:ascii="宋体" w:hAnsi="宋体" w:cs="宋体"/>
          <w:kern w:val="2"/>
          <w:sz w:val="21"/>
          <w:szCs w:val="21"/>
          <w:lang w:val="en-US" w:eastAsia="zh-CN" w:bidi="ar-SA"/>
        </w:rPr>
        <w:t>图 目前大学生就业总体形势</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认为总体就业形势乐观</w:t>
      </w:r>
      <w:r>
        <w:rPr>
          <w:rFonts w:hint="eastAsia" w:ascii="宋体" w:hAnsi="宋体" w:eastAsia="宋体" w:cs="宋体"/>
          <w:kern w:val="2"/>
          <w:sz w:val="21"/>
          <w:szCs w:val="21"/>
          <w:lang w:val="en-US" w:eastAsia="zh-CN" w:bidi="ar-SA"/>
        </w:rPr>
        <w:t>学院分布情况表</w:t>
      </w:r>
    </w:p>
    <w:tbl>
      <w:tblPr>
        <w:tblStyle w:val="17"/>
        <w:tblW w:w="4998" w:type="pct"/>
        <w:jc w:val="center"/>
        <w:tblLayout w:type="autofit"/>
        <w:tblCellMar>
          <w:top w:w="15" w:type="dxa"/>
          <w:left w:w="15" w:type="dxa"/>
          <w:bottom w:w="15" w:type="dxa"/>
          <w:right w:w="15" w:type="dxa"/>
        </w:tblCellMar>
      </w:tblPr>
      <w:tblGrid>
        <w:gridCol w:w="3035"/>
        <w:gridCol w:w="1398"/>
        <w:gridCol w:w="1398"/>
        <w:gridCol w:w="1398"/>
        <w:gridCol w:w="1398"/>
      </w:tblGrid>
      <w:tr>
        <w:tblPrEx>
          <w:tblCellMar>
            <w:top w:w="15" w:type="dxa"/>
            <w:left w:w="15" w:type="dxa"/>
            <w:bottom w:w="15" w:type="dxa"/>
            <w:right w:w="15" w:type="dxa"/>
          </w:tblCellMar>
        </w:tblPrEx>
        <w:trPr>
          <w:trHeight w:val="567" w:hRule="atLeast"/>
          <w:jc w:val="center"/>
        </w:trPr>
        <w:tc>
          <w:tcPr>
            <w:tcW w:w="175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非常乐观</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不容乐观</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较严峻</w:t>
            </w:r>
          </w:p>
        </w:tc>
        <w:tc>
          <w:tcPr>
            <w:tcW w:w="810"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非常严峻</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24.77%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44.14%</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26.13%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4.95%</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27.43%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25.71%</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2.86%</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23.75%</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16.67%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17.99%</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39.57%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32.37%</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10.07%</w:t>
            </w:r>
          </w:p>
        </w:tc>
      </w:tr>
      <w:tr>
        <w:tblPrEx>
          <w:tblCellMar>
            <w:top w:w="15" w:type="dxa"/>
            <w:left w:w="15" w:type="dxa"/>
            <w:bottom w:w="15" w:type="dxa"/>
            <w:right w:w="15" w:type="dxa"/>
          </w:tblCellMar>
        </w:tblPrEx>
        <w:trPr>
          <w:trHeight w:val="454" w:hRule="atLeast"/>
          <w:jc w:val="center"/>
        </w:trPr>
        <w:tc>
          <w:tcPr>
            <w:tcW w:w="175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21.08%</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47.59%</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27.71%</w:t>
            </w:r>
          </w:p>
        </w:tc>
        <w:tc>
          <w:tcPr>
            <w:tcW w:w="810"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3.61%</w:t>
            </w:r>
          </w:p>
        </w:tc>
      </w:tr>
    </w:tbl>
    <w:p>
      <w:pPr>
        <w:pStyle w:val="16"/>
        <w:ind w:left="0" w:leftChars="0" w:firstLine="0" w:firstLineChars="0"/>
        <w:jc w:val="center"/>
        <w:rPr>
          <w:rFonts w:hint="eastAsia" w:ascii="宋体" w:hAnsi="宋体" w:cs="宋体"/>
          <w:kern w:val="2"/>
          <w:sz w:val="21"/>
          <w:szCs w:val="21"/>
          <w:lang w:val="en-US" w:eastAsia="zh-CN" w:bidi="ar-SA"/>
        </w:rPr>
      </w:pP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49" w:name="_Toc22921"/>
      <w:bookmarkStart w:id="150" w:name="_Toc23858"/>
      <w:r>
        <w:rPr>
          <w:rFonts w:hint="eastAsia" w:asciiTheme="minorEastAsia" w:hAnsiTheme="minorEastAsia" w:eastAsiaTheme="minorEastAsia" w:cstheme="minorEastAsia"/>
          <w:b w:val="0"/>
          <w:bCs w:val="0"/>
          <w:lang w:val="en-US" w:eastAsia="zh-CN"/>
        </w:rPr>
        <w:t>对近年来国家及我省出台的促进高校毕业生就业政策措施是否了解</w:t>
      </w:r>
      <w:bookmarkEnd w:id="149"/>
      <w:bookmarkEnd w:id="150"/>
    </w:p>
    <w:p>
      <w:pPr>
        <w:bidi w:val="0"/>
        <w:jc w:val="left"/>
        <w:rPr>
          <w:rFonts w:hint="eastAsia"/>
          <w:lang w:val="en-US" w:eastAsia="zh-CN"/>
        </w:rPr>
      </w:pPr>
      <w:r>
        <w:rPr>
          <w:rFonts w:hint="eastAsia"/>
          <w:lang w:val="en-US" w:eastAsia="zh-CN"/>
        </w:rPr>
        <w:t>调查数据显示，</w:t>
      </w:r>
      <w:r>
        <w:rPr>
          <w:rFonts w:hint="eastAsia" w:asciiTheme="minorEastAsia" w:hAnsiTheme="minorEastAsia" w:eastAsiaTheme="minorEastAsia" w:cstheme="minorEastAsia"/>
          <w:b w:val="0"/>
          <w:bCs w:val="0"/>
          <w:lang w:val="en-US" w:eastAsia="zh-CN"/>
        </w:rPr>
        <w:t>对近年来国家及我省出台的促进高校毕业生就业政策措施</w:t>
      </w:r>
      <w:r>
        <w:rPr>
          <w:rFonts w:hint="eastAsia"/>
          <w:lang w:val="en-US" w:eastAsia="zh-CN"/>
        </w:rPr>
        <w:t>方面，有64.55%的毕业生是一般了解，不了解的毕业生有18.22%，非常了解的毕业生有17.24%。详见下图。</w:t>
      </w:r>
    </w:p>
    <w:p>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5445760" cy="2673350"/>
            <wp:effectExtent l="0" t="0" r="2540" b="3175"/>
            <wp:docPr id="26" name="图表 26" descr="您对近年来国家及我省出台的促进高校毕业生就业政策措施是否了解（如就业创业求职补贴政策、基层就业政策、创业扶持政策、继续考研和专升本、考编、参军入伍等政策）"/>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hAnsi="宋体" w:cs="宋体"/>
          <w:kern w:val="2"/>
          <w:sz w:val="21"/>
          <w:szCs w:val="21"/>
          <w:lang w:val="en-US" w:eastAsia="zh-CN" w:bidi="ar-SA"/>
        </w:rPr>
        <w:t xml:space="preserve">图 </w:t>
      </w:r>
      <w:r>
        <w:rPr>
          <w:rFonts w:hint="eastAsia" w:ascii="Times New Roman" w:hAnsi="Times New Roman" w:eastAsia="宋体" w:cs="Times New Roman"/>
          <w:kern w:val="2"/>
          <w:sz w:val="21"/>
          <w:szCs w:val="21"/>
          <w:lang w:val="en-US" w:eastAsia="zh-CN" w:bidi="ar-SA"/>
        </w:rPr>
        <w:t>对近年来国家及我省出台的促进高校毕业生就业政策措施是否了解</w:t>
      </w:r>
    </w:p>
    <w:p>
      <w:pPr>
        <w:pStyle w:val="4"/>
        <w:numPr>
          <w:ilvl w:val="0"/>
          <w:numId w:val="7"/>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51" w:name="_Toc4419"/>
      <w:bookmarkStart w:id="152" w:name="_Toc26555"/>
      <w:r>
        <w:rPr>
          <w:rFonts w:hint="eastAsia" w:asciiTheme="minorEastAsia" w:hAnsiTheme="minorEastAsia" w:eastAsiaTheme="minorEastAsia" w:cstheme="minorEastAsia"/>
          <w:b w:val="0"/>
          <w:bCs w:val="0"/>
          <w:lang w:val="en-US" w:eastAsia="zh-CN"/>
        </w:rPr>
        <w:t>通过哪些渠道了解以上就业政策</w:t>
      </w:r>
      <w:bookmarkEnd w:id="151"/>
      <w:bookmarkEnd w:id="152"/>
    </w:p>
    <w:p>
      <w:pPr>
        <w:bidi w:val="0"/>
        <w:jc w:val="left"/>
        <w:rPr>
          <w:rFonts w:hint="eastAsia"/>
          <w:lang w:val="en-US" w:eastAsia="zh-CN"/>
        </w:rPr>
      </w:pPr>
      <w:r>
        <w:rPr>
          <w:rFonts w:hint="eastAsia"/>
          <w:lang w:val="en-US" w:eastAsia="zh-CN"/>
        </w:rPr>
        <w:t>调查数据显示，在了解国家及我省出台的促进高校毕业生就业政策措施的渠道上，学校的就业服务部门(校园海报宣传/短信通知/母校就业信息网/母校就业小程序/母校就业微信公众号等)和就业指导课分布占比42.39%和19.55%，是毕业生了解的主要渠道。详见下图。</w:t>
      </w:r>
    </w:p>
    <w:p>
      <w:pPr>
        <w:pStyle w:val="16"/>
        <w:ind w:left="0" w:leftChars="0" w:firstLine="0" w:firstLineChars="0"/>
        <w:jc w:val="center"/>
        <w:rPr>
          <w:rFonts w:hint="eastAsia" w:ascii="宋体" w:hAnsi="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27" name="图表 27" descr="您通过哪些渠道了解以上就业政策？"/>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hAnsi="宋体" w:cs="宋体"/>
          <w:kern w:val="2"/>
          <w:sz w:val="21"/>
          <w:szCs w:val="21"/>
          <w:lang w:val="en-US" w:eastAsia="zh-CN" w:bidi="ar-SA"/>
        </w:rPr>
        <w:t>图 通过哪些渠道了解以上就业政策</w:t>
      </w:r>
    </w:p>
    <w:p>
      <w:pPr>
        <w:pStyle w:val="3"/>
        <w:numPr>
          <w:ilvl w:val="0"/>
          <w:numId w:val="6"/>
        </w:numPr>
        <w:bidi w:val="0"/>
        <w:rPr>
          <w:rFonts w:hint="eastAsia"/>
          <w:lang w:val="en-US" w:eastAsia="zh-CN"/>
        </w:rPr>
      </w:pPr>
      <w:bookmarkStart w:id="153" w:name="_Toc13220"/>
      <w:bookmarkStart w:id="154" w:name="_Toc13739"/>
      <w:bookmarkStart w:id="155" w:name="_Toc29132"/>
      <w:bookmarkStart w:id="156" w:name="_Toc13210"/>
      <w:r>
        <w:rPr>
          <w:rFonts w:hint="eastAsia"/>
          <w:lang w:val="en-US" w:eastAsia="zh-CN"/>
        </w:rPr>
        <w:t>毕业生求职过程分析</w:t>
      </w:r>
      <w:bookmarkEnd w:id="153"/>
      <w:bookmarkEnd w:id="154"/>
      <w:bookmarkEnd w:id="155"/>
      <w:bookmarkEnd w:id="156"/>
    </w:p>
    <w:p>
      <w:pPr>
        <w:bidi w:val="0"/>
        <w:jc w:val="left"/>
        <w:rPr>
          <w:rFonts w:hint="eastAsia"/>
          <w:lang w:val="en-US" w:eastAsia="zh-CN"/>
        </w:rPr>
      </w:pPr>
      <w:bookmarkStart w:id="157" w:name="_Toc22212"/>
      <w:bookmarkStart w:id="158" w:name="_Toc12084"/>
      <w:r>
        <w:rPr>
          <w:rFonts w:hint="eastAsia"/>
          <w:lang w:val="en-US" w:eastAsia="zh-CN"/>
        </w:rPr>
        <w:t>在参与调查的毕业生共有331名毕业生填写了有关求职过程的问卷，其中已落实就业工作266人，正在求职中但工作尚未落实的有65人。</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求职前期望首选的就业单位</w:t>
      </w:r>
      <w:bookmarkEnd w:id="157"/>
      <w:bookmarkEnd w:id="158"/>
    </w:p>
    <w:p>
      <w:pPr>
        <w:bidi w:val="0"/>
        <w:jc w:val="center"/>
        <w:rPr>
          <w:rFonts w:hint="eastAsia" w:ascii="宋体" w:hAnsi="宋体" w:eastAsia="宋体" w:cs="宋体"/>
          <w:kern w:val="2"/>
          <w:sz w:val="21"/>
          <w:szCs w:val="21"/>
          <w:lang w:val="en-US" w:eastAsia="zh-CN" w:bidi="ar-SA"/>
        </w:rPr>
      </w:pPr>
      <w:r>
        <w:rPr>
          <w:rFonts w:hint="eastAsia"/>
          <w:lang w:val="en-US" w:eastAsia="zh-CN"/>
        </w:rPr>
        <w:t>调查数据显示，毕业生求职前期望首选的就业单位是工作相对稳定的事业单位、其他和政府机关，三项合计超过60.73%，分别占比为32.33%、27.79%和14.50%，期望去部队的只有1.51%，详见下图。</w:t>
      </w:r>
      <w:r>
        <w:rPr>
          <w:rFonts w:hint="eastAsia" w:eastAsia="宋体"/>
          <w:lang w:eastAsia="zh-CN"/>
        </w:rPr>
        <w:drawing>
          <wp:inline distT="0" distB="0" distL="114300" distR="114300">
            <wp:extent cx="5455920" cy="3791585"/>
            <wp:effectExtent l="0" t="0" r="1905" b="8890"/>
            <wp:docPr id="25" name="图表 25" descr="求职前您期望首选的就业单位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求职前期望首选的就业单位</w:t>
      </w:r>
    </w:p>
    <w:p>
      <w:pPr>
        <w:pStyle w:val="4"/>
        <w:numPr>
          <w:ilvl w:val="0"/>
          <w:numId w:val="8"/>
        </w:numPr>
        <w:bidi w:val="0"/>
        <w:ind w:left="845" w:leftChars="0" w:hanging="425" w:firstLineChars="0"/>
        <w:rPr>
          <w:rFonts w:hint="eastAsia" w:asciiTheme="minorEastAsia" w:hAnsiTheme="minorEastAsia" w:eastAsiaTheme="minorEastAsia" w:cstheme="minorEastAsia"/>
          <w:b/>
          <w:bCs/>
          <w:highlight w:val="none"/>
          <w:lang w:val="en-US" w:eastAsia="zh-CN"/>
        </w:rPr>
      </w:pPr>
      <w:bookmarkStart w:id="159" w:name="_Toc8311"/>
      <w:bookmarkStart w:id="160" w:name="_Toc31006"/>
      <w:r>
        <w:rPr>
          <w:rFonts w:hint="eastAsia" w:asciiTheme="minorEastAsia" w:hAnsiTheme="minorEastAsia" w:eastAsiaTheme="minorEastAsia" w:cstheme="minorEastAsia"/>
          <w:b/>
          <w:bCs/>
          <w:highlight w:val="none"/>
          <w:lang w:val="en-US" w:eastAsia="zh-CN"/>
        </w:rPr>
        <w:t>求职前期望首选的工作地区</w:t>
      </w:r>
      <w:bookmarkEnd w:id="159"/>
      <w:bookmarkEnd w:id="160"/>
    </w:p>
    <w:p>
      <w:pPr>
        <w:bidi w:val="0"/>
        <w:jc w:val="left"/>
        <w:rPr>
          <w:rFonts w:hint="eastAsia"/>
          <w:lang w:val="en-US" w:eastAsia="zh-CN"/>
        </w:rPr>
      </w:pPr>
      <w:r>
        <w:rPr>
          <w:rFonts w:hint="eastAsia"/>
          <w:lang w:val="en-US" w:eastAsia="zh-CN"/>
        </w:rPr>
        <w:t>调查数据显示，毕业生求职前期望首选的工作地区，首选的是合肥市，有49.85%的调查学生，其次是安徽省内其他地市有26.59%的毕业生选择，然后是长三角(除皖)经济圈（上海+江苏+浙江）有12.69%的调查毕业生。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28" name="图表 28" descr="求职前期望首选的工作地区"/>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 xml:space="preserve"> 求职前期望首选的工作地区</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1" w:name="_Toc30589"/>
      <w:bookmarkStart w:id="162" w:name="_Toc4919"/>
      <w:r>
        <w:rPr>
          <w:rFonts w:hint="eastAsia" w:asciiTheme="minorEastAsia" w:hAnsiTheme="minorEastAsia" w:eastAsiaTheme="minorEastAsia" w:cstheme="minorEastAsia"/>
          <w:b w:val="0"/>
          <w:bCs w:val="0"/>
          <w:lang w:val="en-US" w:eastAsia="zh-CN"/>
        </w:rPr>
        <w:t>求职前期望首选的工作地</w:t>
      </w:r>
      <w:bookmarkEnd w:id="161"/>
      <w:bookmarkEnd w:id="162"/>
    </w:p>
    <w:p>
      <w:pPr>
        <w:bidi w:val="0"/>
        <w:jc w:val="left"/>
        <w:rPr>
          <w:rFonts w:hint="eastAsia"/>
          <w:lang w:val="en-US" w:eastAsia="zh-CN"/>
        </w:rPr>
      </w:pPr>
      <w:r>
        <w:rPr>
          <w:rFonts w:hint="eastAsia"/>
          <w:lang w:val="en-US" w:eastAsia="zh-CN"/>
        </w:rPr>
        <w:t>调查数据显示，求职前期望首选母校所在地最多有30.82%，选择生源所在地的也有27.19%的参与调查毕业生选择，其他地区的有25.68%的选择，最后是既是母校所在地也是生源所在地占比16.31%。详见下图。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30" name="图表 30" descr="求职前您期望首选的工作地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求职前期望首选的工作地</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3" w:name="_Toc29242"/>
      <w:bookmarkStart w:id="164" w:name="_Toc9762"/>
      <w:r>
        <w:rPr>
          <w:rFonts w:hint="eastAsia" w:asciiTheme="minorEastAsia" w:hAnsiTheme="minorEastAsia" w:eastAsiaTheme="minorEastAsia" w:cstheme="minorEastAsia"/>
          <w:b w:val="0"/>
          <w:bCs w:val="0"/>
          <w:lang w:val="en-US" w:eastAsia="zh-CN"/>
        </w:rPr>
        <w:t>求职前期望平均月收入（税前）是人民币多少元/月</w:t>
      </w:r>
      <w:bookmarkEnd w:id="163"/>
      <w:bookmarkEnd w:id="164"/>
    </w:p>
    <w:p>
      <w:pPr>
        <w:bidi w:val="0"/>
        <w:jc w:val="left"/>
        <w:rPr>
          <w:rFonts w:hint="eastAsia"/>
          <w:lang w:val="en-US" w:eastAsia="zh-CN"/>
        </w:rPr>
      </w:pPr>
      <w:r>
        <w:rPr>
          <w:rFonts w:hint="eastAsia"/>
          <w:lang w:val="en-US" w:eastAsia="zh-CN"/>
        </w:rPr>
        <w:t>调查数据显示，毕业生就业期望薪资水平集中在4000到10000的三个区间段内，其中4000-5999元的占比38.97%，6000-7999元的占比31.12%，8000-9999元的占比10.27%，详见下图。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09" name="图表 109" descr="求职前您期望平均月收入（税前）是人民币多少元/月"/>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求职前期望平均月收入（税前）是人民币多少元/月</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5" w:name="_Toc23502"/>
      <w:bookmarkStart w:id="166" w:name="_Toc16872"/>
      <w:r>
        <w:rPr>
          <w:rFonts w:hint="eastAsia" w:asciiTheme="minorEastAsia" w:hAnsiTheme="minorEastAsia" w:eastAsiaTheme="minorEastAsia" w:cstheme="minorEastAsia"/>
          <w:b w:val="0"/>
          <w:bCs w:val="0"/>
          <w:lang w:val="en-US" w:eastAsia="zh-CN"/>
        </w:rPr>
        <w:t>获取求职信息的主要渠道是</w:t>
      </w:r>
      <w:bookmarkEnd w:id="165"/>
      <w:bookmarkEnd w:id="166"/>
    </w:p>
    <w:p>
      <w:pPr>
        <w:bidi w:val="0"/>
        <w:jc w:val="left"/>
        <w:rPr>
          <w:rFonts w:hint="eastAsia"/>
          <w:lang w:val="en-US" w:eastAsia="zh-CN"/>
        </w:rPr>
      </w:pPr>
      <w:r>
        <w:rPr>
          <w:rFonts w:hint="eastAsia"/>
          <w:lang w:val="en-US" w:eastAsia="zh-CN"/>
        </w:rPr>
        <w:t>根据调查统计显示，2022届毕业生就业途径呈多样性趋势，其中，学校的就业推荐服务以及社会化专业求职网站的分别占比40.18%和35.35%，第三是亲友推荐的占比33.53%，详见下图。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0" name="图表 110" descr="您获取求职信息的主要渠道是（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获取求职信息的主要渠道是</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7" w:name="_Toc28388"/>
      <w:bookmarkStart w:id="168" w:name="_Toc8110"/>
      <w:r>
        <w:rPr>
          <w:rFonts w:hint="eastAsia" w:asciiTheme="minorEastAsia" w:hAnsiTheme="minorEastAsia" w:eastAsiaTheme="minorEastAsia" w:cstheme="minorEastAsia"/>
          <w:b w:val="0"/>
          <w:bCs w:val="0"/>
          <w:lang w:val="en-US" w:eastAsia="zh-CN"/>
        </w:rPr>
        <w:t>求职过程中总共投递过多少份简历</w:t>
      </w:r>
      <w:bookmarkEnd w:id="167"/>
      <w:bookmarkEnd w:id="168"/>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32" name="图表 32" descr="求职过程中您总共投递过多少份简历"/>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求职过程中总共投递过多少份简历</w:t>
      </w:r>
    </w:p>
    <w:p>
      <w:pPr>
        <w:bidi w:val="0"/>
        <w:jc w:val="left"/>
        <w:rPr>
          <w:rFonts w:hint="eastAsia"/>
          <w:highlight w:val="none"/>
          <w:lang w:val="en-US" w:eastAsia="zh-CN"/>
        </w:rPr>
      </w:pPr>
      <w:r>
        <w:rPr>
          <w:rFonts w:hint="eastAsia"/>
          <w:highlight w:val="none"/>
          <w:lang w:val="en-US" w:eastAsia="zh-CN"/>
        </w:rPr>
        <w:t>调查数据显示，毕业生求职所投简历数</w:t>
      </w:r>
      <w:r>
        <w:rPr>
          <w:rFonts w:hint="eastAsia"/>
          <w:lang w:val="en-US" w:eastAsia="zh-CN"/>
        </w:rPr>
        <w:t>1-5份</w:t>
      </w:r>
      <w:r>
        <w:rPr>
          <w:rFonts w:hint="eastAsia"/>
          <w:highlight w:val="none"/>
          <w:lang w:val="en-US" w:eastAsia="zh-CN"/>
        </w:rPr>
        <w:t>占</w:t>
      </w:r>
      <w:r>
        <w:rPr>
          <w:rFonts w:hint="eastAsia"/>
          <w:lang w:val="en-US" w:eastAsia="zh-CN"/>
        </w:rPr>
        <w:t>52.57%</w:t>
      </w:r>
      <w:r>
        <w:rPr>
          <w:rFonts w:hint="eastAsia"/>
          <w:highlight w:val="none"/>
          <w:lang w:val="en-US" w:eastAsia="zh-CN"/>
        </w:rPr>
        <w:t>，说明毕业求职成功率还是非常高的，</w:t>
      </w:r>
      <w:r>
        <w:rPr>
          <w:rFonts w:hint="eastAsia"/>
          <w:lang w:val="en-US" w:eastAsia="zh-CN"/>
        </w:rPr>
        <w:t>6-10份</w:t>
      </w:r>
      <w:r>
        <w:rPr>
          <w:rFonts w:hint="eastAsia"/>
          <w:highlight w:val="none"/>
          <w:lang w:val="en-US" w:eastAsia="zh-CN"/>
        </w:rPr>
        <w:t>的占</w:t>
      </w:r>
      <w:r>
        <w:rPr>
          <w:rFonts w:hint="eastAsia"/>
          <w:lang w:val="en-US" w:eastAsia="zh-CN"/>
        </w:rPr>
        <w:t>18.13%</w:t>
      </w:r>
      <w:r>
        <w:rPr>
          <w:rFonts w:hint="eastAsia"/>
          <w:highlight w:val="none"/>
          <w:lang w:val="en-US" w:eastAsia="zh-CN"/>
        </w:rPr>
        <w:t>，</w:t>
      </w:r>
      <w:r>
        <w:rPr>
          <w:rFonts w:hint="eastAsia"/>
          <w:lang w:val="en-US" w:eastAsia="zh-CN"/>
        </w:rPr>
        <w:t>0（没有投过简历）</w:t>
      </w:r>
      <w:r>
        <w:rPr>
          <w:rFonts w:hint="eastAsia"/>
          <w:highlight w:val="none"/>
          <w:lang w:val="en-US" w:eastAsia="zh-CN"/>
        </w:rPr>
        <w:t>的占比</w:t>
      </w:r>
      <w:r>
        <w:rPr>
          <w:rFonts w:hint="eastAsia"/>
          <w:lang w:val="en-US" w:eastAsia="zh-CN"/>
        </w:rPr>
        <w:t>16.62%</w:t>
      </w:r>
      <w:r>
        <w:rPr>
          <w:rFonts w:hint="eastAsia"/>
          <w:highlight w:val="none"/>
          <w:lang w:val="en-US" w:eastAsia="zh-CN"/>
        </w:rPr>
        <w:t>；另外有</w:t>
      </w:r>
      <w:r>
        <w:rPr>
          <w:rFonts w:hint="eastAsia"/>
          <w:lang w:val="en-US" w:eastAsia="zh-CN"/>
        </w:rPr>
        <w:t>5.44%</w:t>
      </w:r>
      <w:r>
        <w:rPr>
          <w:rFonts w:hint="eastAsia"/>
          <w:highlight w:val="none"/>
          <w:lang w:val="en-US" w:eastAsia="zh-CN"/>
        </w:rPr>
        <w:t>的毕业生</w:t>
      </w:r>
      <w:r>
        <w:rPr>
          <w:rFonts w:hint="eastAsia"/>
          <w:lang w:val="en-US" w:eastAsia="zh-CN"/>
        </w:rPr>
        <w:t>11-20份</w:t>
      </w:r>
      <w:r>
        <w:rPr>
          <w:rFonts w:hint="eastAsia"/>
          <w:highlight w:val="none"/>
          <w:lang w:val="en-US" w:eastAsia="zh-CN"/>
        </w:rPr>
        <w:t>，详见上图。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投递简历数</w:t>
      </w:r>
      <w:r>
        <w:rPr>
          <w:rFonts w:hint="eastAsia" w:ascii="宋体" w:hAnsi="宋体" w:eastAsia="宋体" w:cs="宋体"/>
          <w:kern w:val="2"/>
          <w:sz w:val="21"/>
          <w:szCs w:val="21"/>
          <w:lang w:val="en-US" w:eastAsia="zh-CN" w:bidi="ar-SA"/>
        </w:rPr>
        <w:t>学院分布情况表</w:t>
      </w:r>
    </w:p>
    <w:tbl>
      <w:tblPr>
        <w:tblStyle w:val="17"/>
        <w:tblW w:w="4997" w:type="pct"/>
        <w:jc w:val="center"/>
        <w:tblLayout w:type="autofit"/>
        <w:tblCellMar>
          <w:top w:w="15" w:type="dxa"/>
          <w:left w:w="15" w:type="dxa"/>
          <w:bottom w:w="15" w:type="dxa"/>
          <w:right w:w="15" w:type="dxa"/>
        </w:tblCellMar>
      </w:tblPr>
      <w:tblGrid>
        <w:gridCol w:w="2615"/>
        <w:gridCol w:w="1201"/>
        <w:gridCol w:w="1201"/>
        <w:gridCol w:w="1201"/>
        <w:gridCol w:w="1203"/>
        <w:gridCol w:w="1204"/>
      </w:tblGrid>
      <w:tr>
        <w:tblPrEx>
          <w:tblCellMar>
            <w:top w:w="15" w:type="dxa"/>
            <w:left w:w="15" w:type="dxa"/>
            <w:bottom w:w="15" w:type="dxa"/>
            <w:right w:w="15" w:type="dxa"/>
          </w:tblCellMar>
        </w:tblPrEx>
        <w:trPr>
          <w:trHeight w:val="567" w:hRule="atLeast"/>
          <w:jc w:val="center"/>
        </w:trPr>
        <w:tc>
          <w:tcPr>
            <w:tcW w:w="151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0份</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1-5份</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6-10份</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11-20份</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20份以上</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13.41%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52.44%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7.32%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8.54%</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14.91%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57.02%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19.30%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5.26%</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46.67%</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21.05%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57.89%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10.53%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10.53%</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24.69%</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45.68%</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17.28%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7.41%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69" w:name="_Toc16587"/>
      <w:bookmarkStart w:id="170" w:name="_Toc21711"/>
      <w:r>
        <w:rPr>
          <w:rFonts w:hint="eastAsia" w:asciiTheme="minorEastAsia" w:hAnsiTheme="minorEastAsia" w:eastAsiaTheme="minorEastAsia" w:cstheme="minorEastAsia"/>
          <w:b w:val="0"/>
          <w:bCs w:val="0"/>
          <w:lang w:val="en-US" w:eastAsia="zh-CN"/>
        </w:rPr>
        <w:t>求职过程中参加招聘会（含专场）的场次</w:t>
      </w:r>
      <w:bookmarkEnd w:id="169"/>
      <w:bookmarkEnd w:id="170"/>
    </w:p>
    <w:p>
      <w:pPr>
        <w:pStyle w:val="16"/>
        <w:rPr>
          <w:rFonts w:hint="eastAsia"/>
          <w:highlight w:val="none"/>
          <w:lang w:val="en-US" w:eastAsia="zh-CN"/>
        </w:rPr>
      </w:pPr>
      <w:r>
        <w:rPr>
          <w:rFonts w:hint="eastAsia"/>
          <w:highlight w:val="none"/>
          <w:lang w:val="en-US" w:eastAsia="zh-CN"/>
        </w:rPr>
        <w:t>调查数据显示，</w:t>
      </w:r>
      <w:r>
        <w:rPr>
          <w:rFonts w:hint="eastAsia" w:ascii="Times New Roman" w:hAnsi="Times New Roman" w:cs="Times New Roman"/>
          <w:sz w:val="24"/>
          <w:szCs w:val="24"/>
          <w:highlight w:val="none"/>
          <w:lang w:val="en-US" w:eastAsia="zh-CN"/>
        </w:rPr>
        <w:t>参加过</w:t>
      </w:r>
      <w:r>
        <w:rPr>
          <w:rFonts w:hint="eastAsia"/>
          <w:lang w:val="en-US" w:eastAsia="zh-CN"/>
        </w:rPr>
        <w:t>0（到目前为止，没有参加过）</w:t>
      </w:r>
      <w:r>
        <w:rPr>
          <w:rFonts w:hint="eastAsia" w:ascii="Times New Roman" w:hAnsi="Times New Roman" w:cs="Times New Roman"/>
          <w:sz w:val="24"/>
          <w:szCs w:val="24"/>
          <w:highlight w:val="none"/>
          <w:lang w:val="en-US" w:eastAsia="zh-CN"/>
        </w:rPr>
        <w:t>招聘会（含专场）有</w:t>
      </w:r>
      <w:r>
        <w:rPr>
          <w:rFonts w:hint="eastAsia"/>
          <w:lang w:val="en-US" w:eastAsia="zh-CN"/>
        </w:rPr>
        <w:t>64.65%</w:t>
      </w:r>
      <w:r>
        <w:rPr>
          <w:rFonts w:hint="eastAsia" w:ascii="Times New Roman" w:hAnsi="Times New Roman" w:cs="Times New Roman"/>
          <w:sz w:val="24"/>
          <w:szCs w:val="24"/>
          <w:highlight w:val="none"/>
          <w:lang w:val="en-US" w:eastAsia="zh-CN"/>
        </w:rPr>
        <w:t>的受调查毕业生，</w:t>
      </w:r>
      <w:r>
        <w:rPr>
          <w:rFonts w:hint="eastAsia"/>
          <w:lang w:val="en-US" w:eastAsia="zh-CN"/>
        </w:rPr>
        <w:t>2-5次</w:t>
      </w:r>
      <w:r>
        <w:rPr>
          <w:rFonts w:hint="eastAsia" w:ascii="Times New Roman" w:hAnsi="Times New Roman" w:cs="Times New Roman"/>
          <w:sz w:val="24"/>
          <w:szCs w:val="24"/>
          <w:highlight w:val="none"/>
          <w:lang w:val="en-US" w:eastAsia="zh-CN"/>
        </w:rPr>
        <w:t>的占比</w:t>
      </w:r>
      <w:r>
        <w:rPr>
          <w:rFonts w:hint="eastAsia"/>
          <w:lang w:val="en-US" w:eastAsia="zh-CN"/>
        </w:rPr>
        <w:t>16.31%</w:t>
      </w:r>
      <w:r>
        <w:rPr>
          <w:rFonts w:hint="eastAsia" w:ascii="Times New Roman" w:hAnsi="Times New Roman" w:cs="Times New Roman"/>
          <w:sz w:val="24"/>
          <w:szCs w:val="24"/>
          <w:highlight w:val="none"/>
          <w:lang w:val="en-US" w:eastAsia="zh-CN"/>
        </w:rPr>
        <w:t>，</w:t>
      </w:r>
      <w:r>
        <w:rPr>
          <w:rFonts w:hint="eastAsia"/>
          <w:lang w:val="en-US" w:eastAsia="zh-CN"/>
        </w:rPr>
        <w:t>1次</w:t>
      </w:r>
      <w:r>
        <w:rPr>
          <w:rFonts w:hint="eastAsia" w:ascii="Times New Roman" w:hAnsi="Times New Roman" w:cs="Times New Roman"/>
          <w:sz w:val="24"/>
          <w:szCs w:val="24"/>
          <w:highlight w:val="none"/>
          <w:lang w:val="en-US" w:eastAsia="zh-CN"/>
        </w:rPr>
        <w:t>的占比</w:t>
      </w:r>
      <w:r>
        <w:rPr>
          <w:rFonts w:hint="eastAsia"/>
          <w:lang w:val="en-US" w:eastAsia="zh-CN"/>
        </w:rPr>
        <w:t>15.41%</w:t>
      </w:r>
      <w:r>
        <w:rPr>
          <w:rFonts w:hint="eastAsia" w:ascii="Times New Roman" w:hAnsi="Times New Roman" w:cs="Times New Roman"/>
          <w:sz w:val="24"/>
          <w:szCs w:val="24"/>
          <w:highlight w:val="none"/>
          <w:lang w:val="en-US" w:eastAsia="zh-CN"/>
        </w:rPr>
        <w:t>，</w:t>
      </w:r>
      <w:r>
        <w:rPr>
          <w:rFonts w:hint="eastAsia"/>
          <w:lang w:val="en-US" w:eastAsia="zh-CN"/>
        </w:rPr>
        <w:t>10次以上</w:t>
      </w:r>
      <w:r>
        <w:rPr>
          <w:rFonts w:hint="eastAsia" w:ascii="Times New Roman" w:hAnsi="Times New Roman" w:cs="Times New Roman"/>
          <w:sz w:val="24"/>
          <w:szCs w:val="24"/>
          <w:highlight w:val="none"/>
          <w:lang w:val="en-US" w:eastAsia="zh-CN"/>
        </w:rPr>
        <w:t>的占比</w:t>
      </w:r>
      <w:r>
        <w:rPr>
          <w:rFonts w:hint="eastAsia"/>
          <w:lang w:val="en-US" w:eastAsia="zh-CN"/>
        </w:rPr>
        <w:t>2.11%</w:t>
      </w:r>
      <w:r>
        <w:rPr>
          <w:rFonts w:hint="eastAsia" w:ascii="Times New Roman" w:hAnsi="Times New Roman" w:cs="Times New Roman"/>
          <w:sz w:val="24"/>
          <w:szCs w:val="24"/>
          <w:highlight w:val="none"/>
          <w:lang w:val="en-US" w:eastAsia="zh-CN"/>
        </w:rPr>
        <w:t>，</w:t>
      </w:r>
      <w:r>
        <w:rPr>
          <w:rFonts w:hint="eastAsia"/>
          <w:lang w:val="en-US" w:eastAsia="zh-CN"/>
        </w:rPr>
        <w:t>6-10次</w:t>
      </w:r>
      <w:r>
        <w:rPr>
          <w:rFonts w:hint="eastAsia" w:ascii="Times New Roman" w:hAnsi="Times New Roman" w:cs="Times New Roman"/>
          <w:sz w:val="24"/>
          <w:szCs w:val="24"/>
          <w:highlight w:val="none"/>
          <w:lang w:val="en-US" w:eastAsia="zh-CN"/>
        </w:rPr>
        <w:t>的占比</w:t>
      </w:r>
      <w:r>
        <w:rPr>
          <w:rFonts w:hint="eastAsia"/>
          <w:lang w:val="en-US" w:eastAsia="zh-CN"/>
        </w:rPr>
        <w:t>1.51%。</w:t>
      </w:r>
      <w:r>
        <w:rPr>
          <w:rFonts w:hint="eastAsia"/>
          <w:highlight w:val="none"/>
          <w:lang w:val="en-US" w:eastAsia="zh-CN"/>
        </w:rPr>
        <w:t>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39" name="图表 39" descr="求职过程中参加招聘会（含专场）的场次"/>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求职过程中参加招聘会（含专场）的场次</w:t>
      </w:r>
    </w:p>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1" w:name="_Toc31153"/>
      <w:bookmarkStart w:id="172" w:name="_Toc25819"/>
      <w:r>
        <w:rPr>
          <w:rFonts w:hint="eastAsia" w:asciiTheme="minorEastAsia" w:hAnsiTheme="minorEastAsia" w:eastAsiaTheme="minorEastAsia" w:cstheme="minorEastAsia"/>
          <w:b w:val="0"/>
          <w:bCs w:val="0"/>
          <w:lang w:val="en-US" w:eastAsia="zh-CN"/>
        </w:rPr>
        <w:t>求职过程中面试过的用人单位数量</w:t>
      </w:r>
      <w:bookmarkEnd w:id="171"/>
      <w:bookmarkEnd w:id="172"/>
    </w:p>
    <w:p>
      <w:pPr>
        <w:bidi w:val="0"/>
        <w:jc w:val="left"/>
        <w:rPr>
          <w:rFonts w:hint="eastAsia"/>
          <w:lang w:val="en-US" w:eastAsia="zh-CN"/>
        </w:rPr>
      </w:pPr>
      <w:r>
        <w:rPr>
          <w:rFonts w:hint="eastAsia"/>
          <w:lang w:val="en-US" w:eastAsia="zh-CN"/>
        </w:rPr>
        <w:t>调查数据显示，参加面试过的用人单位数量是2-5个</w:t>
      </w:r>
      <w:r>
        <w:rPr>
          <w:rFonts w:hint="eastAsia" w:ascii="Times New Roman" w:hAnsi="Times New Roman" w:cs="Times New Roman"/>
          <w:sz w:val="24"/>
          <w:szCs w:val="24"/>
          <w:highlight w:val="none"/>
          <w:lang w:val="en-US" w:eastAsia="zh-CN"/>
        </w:rPr>
        <w:t>的占比</w:t>
      </w:r>
      <w:r>
        <w:rPr>
          <w:rFonts w:hint="eastAsia"/>
          <w:lang w:val="en-US" w:eastAsia="zh-CN"/>
        </w:rPr>
        <w:t>45.32%</w:t>
      </w:r>
      <w:r>
        <w:rPr>
          <w:rFonts w:hint="eastAsia" w:ascii="Times New Roman" w:hAnsi="Times New Roman" w:cs="Times New Roman"/>
          <w:sz w:val="24"/>
          <w:szCs w:val="24"/>
          <w:highlight w:val="none"/>
          <w:lang w:val="en-US" w:eastAsia="zh-CN"/>
        </w:rPr>
        <w:t>，</w:t>
      </w:r>
      <w:r>
        <w:rPr>
          <w:rFonts w:hint="eastAsia"/>
          <w:lang w:val="en-US" w:eastAsia="zh-CN"/>
        </w:rPr>
        <w:t>1个</w:t>
      </w:r>
      <w:r>
        <w:rPr>
          <w:rFonts w:hint="eastAsia" w:ascii="Times New Roman" w:hAnsi="Times New Roman" w:cs="Times New Roman"/>
          <w:sz w:val="24"/>
          <w:szCs w:val="24"/>
          <w:highlight w:val="none"/>
          <w:lang w:val="en-US" w:eastAsia="zh-CN"/>
        </w:rPr>
        <w:t>的占比</w:t>
      </w:r>
      <w:r>
        <w:rPr>
          <w:rFonts w:hint="eastAsia"/>
          <w:lang w:val="en-US" w:eastAsia="zh-CN"/>
        </w:rPr>
        <w:t>19.34%</w:t>
      </w:r>
      <w:r>
        <w:rPr>
          <w:rFonts w:hint="eastAsia" w:ascii="Times New Roman" w:hAnsi="Times New Roman" w:cs="Times New Roman"/>
          <w:sz w:val="24"/>
          <w:szCs w:val="24"/>
          <w:highlight w:val="none"/>
          <w:lang w:val="en-US" w:eastAsia="zh-CN"/>
        </w:rPr>
        <w:t>，</w:t>
      </w:r>
      <w:r>
        <w:rPr>
          <w:rFonts w:hint="eastAsia"/>
          <w:lang w:val="en-US" w:eastAsia="zh-CN"/>
        </w:rPr>
        <w:t>0（到目前为止，没有面试过）</w:t>
      </w:r>
      <w:r>
        <w:rPr>
          <w:rFonts w:hint="eastAsia" w:ascii="Times New Roman" w:hAnsi="Times New Roman" w:cs="Times New Roman"/>
          <w:sz w:val="24"/>
          <w:szCs w:val="24"/>
          <w:highlight w:val="none"/>
          <w:lang w:val="en-US" w:eastAsia="zh-CN"/>
        </w:rPr>
        <w:t>的占比</w:t>
      </w:r>
      <w:r>
        <w:rPr>
          <w:rFonts w:hint="eastAsia"/>
          <w:lang w:val="en-US" w:eastAsia="zh-CN"/>
        </w:rPr>
        <w:t>15.11%</w:t>
      </w:r>
      <w:r>
        <w:rPr>
          <w:rFonts w:hint="eastAsia" w:ascii="Times New Roman" w:hAnsi="Times New Roman" w:cs="Times New Roman"/>
          <w:sz w:val="24"/>
          <w:szCs w:val="24"/>
          <w:highlight w:val="none"/>
          <w:lang w:val="en-US" w:eastAsia="zh-CN"/>
        </w:rPr>
        <w:t>，</w:t>
      </w:r>
      <w:r>
        <w:rPr>
          <w:rFonts w:hint="eastAsia"/>
          <w:lang w:val="en-US" w:eastAsia="zh-CN"/>
        </w:rPr>
        <w:t>10个以上</w:t>
      </w:r>
      <w:r>
        <w:rPr>
          <w:rFonts w:hint="eastAsia" w:ascii="Times New Roman" w:hAnsi="Times New Roman" w:cs="Times New Roman"/>
          <w:sz w:val="24"/>
          <w:szCs w:val="24"/>
          <w:highlight w:val="none"/>
          <w:lang w:val="en-US" w:eastAsia="zh-CN"/>
        </w:rPr>
        <w:t>的占比</w:t>
      </w:r>
      <w:r>
        <w:rPr>
          <w:rFonts w:hint="eastAsia"/>
          <w:lang w:val="en-US" w:eastAsia="zh-CN"/>
        </w:rPr>
        <w:t>11.48%</w:t>
      </w:r>
      <w:r>
        <w:rPr>
          <w:rFonts w:hint="eastAsia" w:ascii="Times New Roman" w:hAnsi="Times New Roman" w:cs="Times New Roman"/>
          <w:sz w:val="24"/>
          <w:szCs w:val="24"/>
          <w:highlight w:val="none"/>
          <w:lang w:val="en-US" w:eastAsia="zh-CN"/>
        </w:rPr>
        <w:t>，</w:t>
      </w:r>
      <w:r>
        <w:rPr>
          <w:rFonts w:hint="eastAsia"/>
          <w:lang w:val="en-US" w:eastAsia="zh-CN"/>
        </w:rPr>
        <w:t>6-10个</w:t>
      </w:r>
      <w:r>
        <w:rPr>
          <w:rFonts w:hint="eastAsia" w:ascii="Times New Roman" w:hAnsi="Times New Roman" w:cs="Times New Roman"/>
          <w:sz w:val="24"/>
          <w:szCs w:val="24"/>
          <w:highlight w:val="none"/>
          <w:lang w:val="en-US" w:eastAsia="zh-CN"/>
        </w:rPr>
        <w:t>的占比</w:t>
      </w:r>
      <w:r>
        <w:rPr>
          <w:rFonts w:hint="eastAsia"/>
          <w:lang w:val="en-US" w:eastAsia="zh-CN"/>
        </w:rPr>
        <w:t>8.76%。详见下图。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40" name="图表 40" descr="求职过程中您面试过的用人单位数量"/>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求职过程中面试过的用人单位数量</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3" w:name="_Toc20829"/>
      <w:bookmarkStart w:id="174" w:name="_Toc22432"/>
      <w:r>
        <w:rPr>
          <w:rFonts w:hint="eastAsia" w:asciiTheme="minorEastAsia" w:hAnsiTheme="minorEastAsia" w:eastAsiaTheme="minorEastAsia" w:cstheme="minorEastAsia"/>
          <w:b w:val="0"/>
          <w:bCs w:val="0"/>
          <w:lang w:val="en-US" w:eastAsia="zh-CN"/>
        </w:rPr>
        <w:t>求职过程中拿到的录取通知数</w:t>
      </w:r>
      <w:bookmarkEnd w:id="173"/>
      <w:bookmarkEnd w:id="174"/>
    </w:p>
    <w:p>
      <w:pPr>
        <w:bidi w:val="0"/>
        <w:jc w:val="left"/>
        <w:rPr>
          <w:rFonts w:hint="eastAsia"/>
          <w:lang w:val="en-US" w:eastAsia="zh-CN"/>
        </w:rPr>
      </w:pPr>
      <w:r>
        <w:rPr>
          <w:rFonts w:hint="eastAsia"/>
          <w:lang w:val="en-US" w:eastAsia="zh-CN"/>
        </w:rPr>
        <w:t>调查数据显示，拿到的录取通知数1个的占比26.59%，3个以上的占比22.66%，2个的占比20.85%，0（到目前为止，还没有收到Offer）的占比19.03%，3个的占比10.88%。详见下图。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49" name="图表 49" descr="7b0a202020202263686172745265734964223a202232303437333430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求职过程中拿到的offer（录取通知）数</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拿到录用通知数</w:t>
      </w:r>
      <w:r>
        <w:rPr>
          <w:rFonts w:hint="eastAsia" w:ascii="宋体" w:hAnsi="宋体" w:eastAsia="宋体" w:cs="宋体"/>
          <w:kern w:val="2"/>
          <w:sz w:val="21"/>
          <w:szCs w:val="21"/>
          <w:lang w:val="en-US" w:eastAsia="zh-CN" w:bidi="ar-SA"/>
        </w:rPr>
        <w:t>学院分布情况表</w:t>
      </w:r>
    </w:p>
    <w:tbl>
      <w:tblPr>
        <w:tblStyle w:val="17"/>
        <w:tblW w:w="4997" w:type="pct"/>
        <w:jc w:val="center"/>
        <w:tblLayout w:type="autofit"/>
        <w:tblCellMar>
          <w:top w:w="15" w:type="dxa"/>
          <w:left w:w="15" w:type="dxa"/>
          <w:bottom w:w="15" w:type="dxa"/>
          <w:right w:w="15" w:type="dxa"/>
        </w:tblCellMar>
      </w:tblPr>
      <w:tblGrid>
        <w:gridCol w:w="2615"/>
        <w:gridCol w:w="1201"/>
        <w:gridCol w:w="1201"/>
        <w:gridCol w:w="1201"/>
        <w:gridCol w:w="1203"/>
        <w:gridCol w:w="1204"/>
      </w:tblGrid>
      <w:tr>
        <w:tblPrEx>
          <w:tblCellMar>
            <w:top w:w="15" w:type="dxa"/>
            <w:left w:w="15" w:type="dxa"/>
            <w:bottom w:w="15" w:type="dxa"/>
            <w:right w:w="15" w:type="dxa"/>
          </w:tblCellMar>
        </w:tblPrEx>
        <w:trPr>
          <w:trHeight w:val="567" w:hRule="atLeast"/>
          <w:jc w:val="center"/>
        </w:trPr>
        <w:tc>
          <w:tcPr>
            <w:tcW w:w="151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0个</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1个</w:t>
            </w:r>
          </w:p>
        </w:tc>
        <w:tc>
          <w:tcPr>
            <w:tcW w:w="69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2个</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3个</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3个以上</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17.07%</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21.95%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24.39%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13.41%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23.17%</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14.04%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28.95%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22.81%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13.16%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21.05%</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23.33%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23.33%</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47.37%</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21.05%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10.53%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21.05%</w:t>
            </w:r>
          </w:p>
        </w:tc>
      </w:tr>
      <w:tr>
        <w:tblPrEx>
          <w:tblCellMar>
            <w:top w:w="15" w:type="dxa"/>
            <w:left w:w="15" w:type="dxa"/>
            <w:bottom w:w="15" w:type="dxa"/>
            <w:right w:w="15" w:type="dxa"/>
          </w:tblCellMar>
        </w:tblPrEx>
        <w:trPr>
          <w:trHeight w:val="454" w:hRule="atLeast"/>
          <w:jc w:val="center"/>
        </w:trPr>
        <w:tc>
          <w:tcPr>
            <w:tcW w:w="151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30.86%</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24.69%</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5" w:name="_Toc9888"/>
      <w:bookmarkStart w:id="176" w:name="_Toc29973"/>
      <w:r>
        <w:rPr>
          <w:rFonts w:hint="eastAsia" w:asciiTheme="minorEastAsia" w:hAnsiTheme="minorEastAsia" w:eastAsiaTheme="minorEastAsia" w:cstheme="minorEastAsia"/>
          <w:b w:val="0"/>
          <w:bCs w:val="0"/>
          <w:lang w:val="en-US" w:eastAsia="zh-CN"/>
        </w:rPr>
        <w:t>求职成本</w:t>
      </w:r>
      <w:bookmarkEnd w:id="175"/>
      <w:bookmarkEnd w:id="176"/>
    </w:p>
    <w:p>
      <w:pPr>
        <w:bidi w:val="0"/>
        <w:jc w:val="left"/>
        <w:rPr>
          <w:rFonts w:hint="eastAsia"/>
          <w:lang w:val="en-US" w:eastAsia="zh-CN"/>
        </w:rPr>
      </w:pPr>
      <w:r>
        <w:rPr>
          <w:rFonts w:hint="eastAsia"/>
          <w:lang w:val="en-US" w:eastAsia="zh-CN"/>
        </w:rPr>
        <w:t>求职成本仅指参加校外招聘会的交通及住宿费用。调查数据显示，54.98%的受调查毕业生花费1000元内，1000-2000元内的也只有21.15%，毕业生求职成本低，也侧面反映学校内提供的就业信息，有效的解决毕业生的求职问题。详见下图。</w:t>
      </w:r>
    </w:p>
    <w:p>
      <w:pPr>
        <w:pStyle w:val="16"/>
        <w:ind w:left="0" w:leftChars="0" w:firstLine="0" w:firstLineChars="0"/>
        <w:jc w:val="center"/>
        <w:rPr>
          <w:rFonts w:hint="default"/>
          <w:sz w:val="24"/>
          <w:lang w:val="en-US"/>
        </w:rPr>
      </w:pPr>
      <w:r>
        <w:rPr>
          <w:rFonts w:hint="eastAsia" w:eastAsia="宋体"/>
          <w:lang w:eastAsia="zh-CN"/>
        </w:rPr>
        <w:drawing>
          <wp:inline distT="0" distB="0" distL="114300" distR="114300">
            <wp:extent cx="5455920" cy="3791585"/>
            <wp:effectExtent l="0" t="0" r="1905" b="8890"/>
            <wp:docPr id="29" name="图表 29" descr="您的求职成本（仅指参加校外招聘会的交通及住宿费用）"/>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hAnsi="宋体" w:cs="宋体"/>
          <w:kern w:val="2"/>
          <w:sz w:val="21"/>
          <w:szCs w:val="21"/>
          <w:lang w:val="en-US" w:eastAsia="zh-CN" w:bidi="ar-SA"/>
        </w:rPr>
        <w:t>图 求职成本</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7" w:name="_Toc20645"/>
      <w:bookmarkStart w:id="178" w:name="_Toc14120"/>
      <w:r>
        <w:rPr>
          <w:rFonts w:hint="eastAsia" w:asciiTheme="minorEastAsia" w:hAnsiTheme="minorEastAsia" w:eastAsiaTheme="minorEastAsia" w:cstheme="minorEastAsia"/>
          <w:b w:val="0"/>
          <w:bCs w:val="0"/>
          <w:lang w:val="en-US" w:eastAsia="zh-CN"/>
        </w:rPr>
        <w:t>求职时长（从开始找工作到拿到第一份录取通知）</w:t>
      </w:r>
      <w:bookmarkEnd w:id="177"/>
      <w:bookmarkEnd w:id="178"/>
    </w:p>
    <w:p>
      <w:pPr>
        <w:bidi w:val="0"/>
        <w:jc w:val="left"/>
        <w:rPr>
          <w:rFonts w:hint="eastAsia"/>
          <w:lang w:val="en-US" w:eastAsia="zh-CN"/>
        </w:rPr>
      </w:pPr>
      <w:r>
        <w:rPr>
          <w:rFonts w:hint="eastAsia"/>
          <w:lang w:val="en-US" w:eastAsia="zh-CN"/>
        </w:rPr>
        <w:t>调查数据显示，91.84%的已落实就业单位的毕业生在3个月内从开始找工作到拿到第一份录取通知，其中有65.56%的已落实就业单位的毕业生在一个月内拿到录用通知，毕业生求职效率高。详见下图。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3" name="图表 53" descr="您的求职时长（从开始找工作到拿到第一份录取通知）"/>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求职时长（从开始找工作到拿到第一份录取通知）</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79" w:name="_Toc9512"/>
      <w:bookmarkStart w:id="180" w:name="_Toc8834"/>
      <w:r>
        <w:rPr>
          <w:rFonts w:hint="eastAsia" w:asciiTheme="minorEastAsia" w:hAnsiTheme="minorEastAsia" w:eastAsiaTheme="minorEastAsia" w:cstheme="minorEastAsia"/>
          <w:b w:val="0"/>
          <w:bCs w:val="0"/>
          <w:lang w:val="en-US" w:eastAsia="zh-CN"/>
        </w:rPr>
        <w:t>在确定工作单位时最重视的因素有哪些</w:t>
      </w:r>
      <w:bookmarkEnd w:id="179"/>
      <w:bookmarkEnd w:id="180"/>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1" name="图表 111" descr="您在确定工作单位时最重视的因素有哪些（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在确定工作单位时最重视的因素有哪些</w:t>
      </w:r>
    </w:p>
    <w:p>
      <w:pPr>
        <w:bidi w:val="0"/>
        <w:jc w:val="left"/>
        <w:rPr>
          <w:rFonts w:hint="eastAsia"/>
          <w:lang w:val="en-US" w:eastAsia="zh-CN"/>
        </w:rPr>
      </w:pPr>
      <w:r>
        <w:rPr>
          <w:rFonts w:hint="eastAsia"/>
          <w:lang w:val="en-US" w:eastAsia="zh-CN"/>
        </w:rPr>
        <w:t>调查数据显示，地理位置(经济状况(经济发展水平)、离家距离、大城市(城市规模)等)、个人发展前景、行业前景、薪资福利和工作稳定性是毕业确定工作单位时最重视的因素。详见下图。</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1" w:name="_Toc29648"/>
      <w:bookmarkStart w:id="182" w:name="_Toc5428"/>
      <w:r>
        <w:rPr>
          <w:rFonts w:hint="eastAsia" w:asciiTheme="minorEastAsia" w:hAnsiTheme="minorEastAsia" w:eastAsiaTheme="minorEastAsia" w:cstheme="minorEastAsia"/>
          <w:b w:val="0"/>
          <w:bCs w:val="0"/>
          <w:lang w:val="en-US" w:eastAsia="zh-CN"/>
        </w:rPr>
        <w:t>在求职的过程中，最具竞争力的方面是</w:t>
      </w:r>
      <w:bookmarkEnd w:id="181"/>
      <w:bookmarkEnd w:id="182"/>
    </w:p>
    <w:p>
      <w:pPr>
        <w:bidi w:val="0"/>
        <w:jc w:val="left"/>
        <w:rPr>
          <w:rFonts w:hint="eastAsia"/>
          <w:lang w:val="en-US" w:eastAsia="zh-CN"/>
        </w:rPr>
      </w:pPr>
      <w:r>
        <w:rPr>
          <w:rFonts w:hint="eastAsia"/>
          <w:lang w:val="en-US" w:eastAsia="zh-CN"/>
        </w:rPr>
        <w:t>调查数据显示，毕业生认为最具竞争力的方面是实习实践经历占比54.08%，其次是专业知识水平占比38.07%和学科专业优势占比36.25%，学校知名度占比23.56%，详见下图。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2" name="图表 112" descr="您觉得自己在求职的过程中，最具竞争力的方面是（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在求职的过程中，最具竞争力的方面是</w:t>
      </w:r>
    </w:p>
    <w:p>
      <w:pPr>
        <w:pStyle w:val="4"/>
        <w:numPr>
          <w:ilvl w:val="0"/>
          <w:numId w:val="8"/>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3" w:name="_Toc623"/>
      <w:bookmarkStart w:id="184" w:name="_Toc6025"/>
      <w:r>
        <w:rPr>
          <w:rFonts w:hint="eastAsia" w:asciiTheme="minorEastAsia" w:hAnsiTheme="minorEastAsia" w:eastAsiaTheme="minorEastAsia" w:cstheme="minorEastAsia"/>
          <w:b w:val="0"/>
          <w:bCs w:val="0"/>
          <w:lang w:val="en-US" w:eastAsia="zh-CN"/>
        </w:rPr>
        <w:t>在求职过程中遇到的主要困难或劣势</w:t>
      </w:r>
      <w:bookmarkEnd w:id="183"/>
      <w:bookmarkEnd w:id="184"/>
    </w:p>
    <w:p>
      <w:pPr>
        <w:bidi w:val="0"/>
        <w:jc w:val="left"/>
        <w:rPr>
          <w:rFonts w:hint="default"/>
          <w:lang w:val="en-US" w:eastAsia="zh-CN"/>
        </w:rPr>
      </w:pPr>
      <w:r>
        <w:rPr>
          <w:rFonts w:hint="eastAsia"/>
          <w:lang w:val="en-US" w:eastAsia="zh-CN"/>
        </w:rPr>
        <w:t>调查数据显示，毕业生认为缺乏实践经验占比52.57%，其次是适合自己的招聘职位太少占比41.09%，然后有34.14%的认为是专业知识与能力不足。有65.56%的</w:t>
      </w:r>
      <w:r>
        <w:rPr>
          <w:rFonts w:hint="eastAsia"/>
          <w:highlight w:val="yellow"/>
          <w:lang w:val="en-US" w:eastAsia="zh-CN"/>
        </w:rPr>
        <w:t>毕业生不知道什么工作适合自己</w:t>
      </w:r>
      <w:r>
        <w:rPr>
          <w:rFonts w:hint="eastAsia"/>
          <w:lang w:val="en-US" w:eastAsia="zh-CN"/>
        </w:rPr>
        <w:t>，学校需要加强毕业生职业生涯规则指导，详见下图。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3" name="图表 113" descr="您在求职过程中遇到的主要困难或劣势是（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在求职过程中遇到的主要困难或劣势</w:t>
      </w:r>
    </w:p>
    <w:p>
      <w:pPr>
        <w:pStyle w:val="3"/>
        <w:numPr>
          <w:ilvl w:val="0"/>
          <w:numId w:val="6"/>
        </w:numPr>
        <w:bidi w:val="0"/>
        <w:rPr>
          <w:rFonts w:hint="eastAsia"/>
          <w:lang w:val="en-US" w:eastAsia="zh-CN"/>
        </w:rPr>
      </w:pPr>
      <w:bookmarkStart w:id="185" w:name="_Toc27072"/>
      <w:bookmarkStart w:id="186" w:name="_Toc8983"/>
      <w:bookmarkStart w:id="187" w:name="_Toc4544"/>
      <w:bookmarkStart w:id="188" w:name="_Toc12351"/>
      <w:r>
        <w:rPr>
          <w:rFonts w:hint="eastAsia"/>
          <w:lang w:val="en-US" w:eastAsia="zh-CN"/>
        </w:rPr>
        <w:t>毕业生就职分析</w:t>
      </w:r>
      <w:bookmarkEnd w:id="185"/>
      <w:bookmarkEnd w:id="186"/>
      <w:bookmarkEnd w:id="187"/>
      <w:bookmarkEnd w:id="188"/>
    </w:p>
    <w:p>
      <w:pPr>
        <w:bidi w:val="0"/>
        <w:jc w:val="left"/>
        <w:rPr>
          <w:rFonts w:hint="eastAsia"/>
          <w:lang w:val="en-US" w:eastAsia="zh-CN"/>
        </w:rPr>
      </w:pPr>
      <w:r>
        <w:rPr>
          <w:rFonts w:hint="eastAsia"/>
          <w:lang w:val="en-US" w:eastAsia="zh-CN"/>
        </w:rPr>
        <w:t>在参与调查的毕业生共有266名已落实就业工作。</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89" w:name="_Toc13863"/>
      <w:bookmarkStart w:id="190" w:name="_Toc428"/>
      <w:r>
        <w:rPr>
          <w:rFonts w:hint="eastAsia" w:asciiTheme="minorEastAsia" w:hAnsiTheme="minorEastAsia" w:eastAsiaTheme="minorEastAsia" w:cstheme="minorEastAsia"/>
          <w:b w:val="0"/>
          <w:bCs w:val="0"/>
          <w:lang w:val="en-US" w:eastAsia="zh-CN"/>
        </w:rPr>
        <w:t>求职成功的最终渠道是</w:t>
      </w:r>
      <w:bookmarkEnd w:id="189"/>
      <w:bookmarkEnd w:id="190"/>
    </w:p>
    <w:p>
      <w:pPr>
        <w:bidi w:val="0"/>
        <w:jc w:val="left"/>
        <w:rPr>
          <w:rFonts w:hint="eastAsia"/>
          <w:lang w:val="en-US" w:eastAsia="zh-CN"/>
        </w:rPr>
      </w:pPr>
      <w:r>
        <w:rPr>
          <w:rFonts w:hint="eastAsia"/>
          <w:lang w:val="en-US" w:eastAsia="zh-CN"/>
        </w:rPr>
        <w:t>根据调查统计显示，有23.68%已落实就业单位毕业生的通过其他获得工作，亲友推荐有23.68%的已落实就业单位毕业生，这和毕业生的求职渠道基本保持一致。排列第三的是社会化专业求职网站占比21.80%。详见下图。</w:t>
      </w:r>
    </w:p>
    <w:p>
      <w:pPr>
        <w:pStyle w:val="16"/>
        <w:rPr>
          <w:rFonts w:hint="eastAsia"/>
          <w:lang w:val="en-US" w:eastAsia="zh-CN"/>
        </w:rPr>
      </w:pP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4" name="图表 114" descr="您求职成功的最终渠道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求职成功的最终渠道是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1" w:name="_Toc26480"/>
      <w:bookmarkStart w:id="192" w:name="_Toc1319"/>
      <w:r>
        <w:rPr>
          <w:rFonts w:hint="eastAsia" w:asciiTheme="minorEastAsia" w:hAnsiTheme="minorEastAsia" w:eastAsiaTheme="minorEastAsia" w:cstheme="minorEastAsia"/>
          <w:b w:val="0"/>
          <w:bCs w:val="0"/>
          <w:lang w:val="en-US" w:eastAsia="zh-CN"/>
        </w:rPr>
        <w:t>目前的签约工作单位是</w:t>
      </w:r>
      <w:bookmarkEnd w:id="191"/>
      <w:bookmarkEnd w:id="192"/>
    </w:p>
    <w:p>
      <w:pPr>
        <w:bidi w:val="0"/>
        <w:jc w:val="left"/>
        <w:rPr>
          <w:rFonts w:hint="eastAsia"/>
          <w:lang w:val="en-US" w:eastAsia="zh-CN"/>
        </w:rPr>
      </w:pPr>
      <w:r>
        <w:rPr>
          <w:rFonts w:hint="eastAsia"/>
          <w:lang w:val="en-US" w:eastAsia="zh-CN"/>
        </w:rPr>
        <w:t>调查数据显示，有40.23%的毕业生选择在其他就业，然后是民营企业占比29.32%，选择事业单位就业占16.92%。详见下图。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31" name="图表 31" descr="目前的签约工作单位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目前的签约工作单位是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3" w:name="_Toc29731"/>
      <w:bookmarkStart w:id="194" w:name="_Toc30583"/>
      <w:r>
        <w:rPr>
          <w:rFonts w:hint="eastAsia" w:asciiTheme="minorEastAsia" w:hAnsiTheme="minorEastAsia" w:eastAsiaTheme="minorEastAsia" w:cstheme="minorEastAsia"/>
          <w:b w:val="0"/>
          <w:bCs w:val="0"/>
          <w:lang w:val="en-US" w:eastAsia="zh-CN"/>
        </w:rPr>
        <w:t>目前签约的工作地区是</w:t>
      </w:r>
      <w:bookmarkEnd w:id="193"/>
      <w:bookmarkEnd w:id="194"/>
    </w:p>
    <w:p>
      <w:pPr>
        <w:bidi w:val="0"/>
        <w:jc w:val="left"/>
        <w:rPr>
          <w:rFonts w:hint="eastAsia"/>
          <w:lang w:val="en-US" w:eastAsia="zh-CN"/>
        </w:rPr>
      </w:pPr>
      <w:r>
        <w:rPr>
          <w:rFonts w:hint="eastAsia"/>
          <w:lang w:val="en-US" w:eastAsia="zh-CN"/>
        </w:rPr>
        <w:t>调查数据显示，有50.00%的毕业生选择在合肥市工作，这是毕业生的就业期望工作地是一致的，其次是安徽省内其他地市占比50.00%，排名第三的是其他地区，占比9.40%。详见下图。</w:t>
      </w:r>
    </w:p>
    <w:p>
      <w:pPr>
        <w:bidi w:val="0"/>
        <w:ind w:left="0" w:leftChars="0" w:firstLine="0" w:firstLineChars="0"/>
        <w:jc w:val="left"/>
        <w:rPr>
          <w:rFonts w:hint="eastAsia"/>
          <w:lang w:val="en-US" w:eastAsia="zh-CN"/>
        </w:rPr>
      </w:pPr>
      <w:r>
        <w:rPr>
          <w:rFonts w:hint="eastAsia" w:eastAsia="宋体"/>
          <w:lang w:eastAsia="zh-CN"/>
        </w:rPr>
        <w:drawing>
          <wp:inline distT="0" distB="0" distL="114300" distR="114300">
            <wp:extent cx="5455920" cy="3791585"/>
            <wp:effectExtent l="0" t="0" r="1905" b="8890"/>
            <wp:docPr id="36" name="图表 36" descr="您目前签约的工作地区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目前签约的工作地区是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5" w:name="_Toc22740"/>
      <w:bookmarkStart w:id="196" w:name="_Toc21545"/>
      <w:r>
        <w:rPr>
          <w:rFonts w:hint="eastAsia" w:asciiTheme="minorEastAsia" w:hAnsiTheme="minorEastAsia" w:eastAsiaTheme="minorEastAsia" w:cstheme="minorEastAsia"/>
          <w:b w:val="0"/>
          <w:bCs w:val="0"/>
          <w:lang w:val="en-US" w:eastAsia="zh-CN"/>
        </w:rPr>
        <w:t>目前签约的工作地是</w:t>
      </w:r>
      <w:bookmarkEnd w:id="195"/>
      <w:bookmarkEnd w:id="196"/>
    </w:p>
    <w:p>
      <w:pPr>
        <w:bidi w:val="0"/>
        <w:jc w:val="left"/>
        <w:rPr>
          <w:rFonts w:hint="eastAsia"/>
          <w:lang w:val="en-US" w:eastAsia="zh-CN"/>
        </w:rPr>
      </w:pPr>
      <w:r>
        <w:rPr>
          <w:rFonts w:hint="eastAsia"/>
          <w:lang w:val="en-US" w:eastAsia="zh-CN"/>
        </w:rPr>
        <w:t>调查数据显示，有35.71%的毕业生</w:t>
      </w:r>
      <w:r>
        <w:rPr>
          <w:rFonts w:hint="eastAsia" w:asciiTheme="minorEastAsia" w:hAnsiTheme="minorEastAsia" w:eastAsiaTheme="minorEastAsia" w:cstheme="minorEastAsia"/>
          <w:b w:val="0"/>
          <w:bCs w:val="0"/>
          <w:lang w:val="en-US" w:eastAsia="zh-CN"/>
        </w:rPr>
        <w:t>签约的工作地是</w:t>
      </w:r>
      <w:r>
        <w:rPr>
          <w:rFonts w:hint="eastAsia"/>
          <w:lang w:val="en-US" w:eastAsia="zh-CN"/>
        </w:rPr>
        <w:t>母校所在地，31.20%的毕业生</w:t>
      </w:r>
      <w:r>
        <w:rPr>
          <w:rFonts w:hint="eastAsia" w:asciiTheme="minorEastAsia" w:hAnsiTheme="minorEastAsia" w:eastAsiaTheme="minorEastAsia" w:cstheme="minorEastAsia"/>
          <w:b w:val="0"/>
          <w:bCs w:val="0"/>
          <w:lang w:val="en-US" w:eastAsia="zh-CN"/>
        </w:rPr>
        <w:t>签约的工作地是</w:t>
      </w:r>
      <w:r>
        <w:rPr>
          <w:rFonts w:hint="eastAsia"/>
          <w:lang w:val="en-US" w:eastAsia="zh-CN"/>
        </w:rPr>
        <w:t>生源所在地，23.31%的毕业生</w:t>
      </w:r>
      <w:r>
        <w:rPr>
          <w:rFonts w:hint="eastAsia" w:asciiTheme="minorEastAsia" w:hAnsiTheme="minorEastAsia" w:eastAsiaTheme="minorEastAsia" w:cstheme="minorEastAsia"/>
          <w:b w:val="0"/>
          <w:bCs w:val="0"/>
          <w:lang w:val="en-US" w:eastAsia="zh-CN"/>
        </w:rPr>
        <w:t>签约的工作地是</w:t>
      </w:r>
      <w:r>
        <w:rPr>
          <w:rFonts w:hint="eastAsia"/>
          <w:lang w:val="en-US" w:eastAsia="zh-CN"/>
        </w:rPr>
        <w:t>其他地区。详见下图。</w:t>
      </w:r>
    </w:p>
    <w:p>
      <w:pPr>
        <w:bidi w:val="0"/>
        <w:ind w:left="0" w:leftChars="0" w:firstLine="0" w:firstLineChars="0"/>
        <w:jc w:val="left"/>
        <w:rPr>
          <w:rFonts w:hint="eastAsia"/>
          <w:lang w:val="en-US" w:eastAsia="zh-CN"/>
        </w:rPr>
      </w:pPr>
      <w:r>
        <w:rPr>
          <w:rFonts w:hint="eastAsia"/>
          <w:lang w:val="en-US" w:eastAsia="zh-CN"/>
        </w:rPr>
        <w:drawing>
          <wp:inline distT="0" distB="0" distL="114300" distR="114300">
            <wp:extent cx="5445760" cy="2673350"/>
            <wp:effectExtent l="0" t="0" r="2540" b="3175"/>
            <wp:docPr id="41" name="图表 41" descr="您目前签约的工作地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目前签约的工作地是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7" w:name="_Toc31750"/>
      <w:bookmarkStart w:id="198" w:name="_Toc28274"/>
      <w:r>
        <w:rPr>
          <w:rFonts w:hint="eastAsia" w:asciiTheme="minorEastAsia" w:hAnsiTheme="minorEastAsia" w:eastAsiaTheme="minorEastAsia" w:cstheme="minorEastAsia"/>
          <w:b w:val="0"/>
          <w:bCs w:val="0"/>
          <w:lang w:val="en-US" w:eastAsia="zh-CN"/>
        </w:rPr>
        <w:t>目前签约工作的平均月收入（税前）是人民币多少元/月</w:t>
      </w:r>
      <w:bookmarkEnd w:id="197"/>
      <w:bookmarkEnd w:id="198"/>
    </w:p>
    <w:p>
      <w:pPr>
        <w:bidi w:val="0"/>
        <w:jc w:val="left"/>
        <w:rPr>
          <w:rFonts w:hint="eastAsia"/>
          <w:lang w:val="en-US" w:eastAsia="zh-CN"/>
        </w:rPr>
      </w:pPr>
      <w:r>
        <w:rPr>
          <w:rFonts w:hint="eastAsia"/>
          <w:lang w:val="en-US" w:eastAsia="zh-CN"/>
        </w:rPr>
        <w:t>调查数据显示，签约工作的平均月收入在2000-3999元元之间，整体平均月收入比期望预期低一些，详见下图。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5" name="图表 115" descr="您目前签约工作的平均月收入（税前）是人民币多少元/月"/>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目前签约工作的平均月收入（税前）是人民币多少元/月</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199" w:name="_Toc11282"/>
      <w:bookmarkStart w:id="200" w:name="_Toc19052"/>
      <w:r>
        <w:rPr>
          <w:rFonts w:hint="eastAsia" w:asciiTheme="minorEastAsia" w:hAnsiTheme="minorEastAsia" w:eastAsiaTheme="minorEastAsia" w:cstheme="minorEastAsia"/>
          <w:b w:val="0"/>
          <w:bCs w:val="0"/>
          <w:lang w:val="en-US" w:eastAsia="zh-CN"/>
        </w:rPr>
        <w:t>目前的签约工作单位是毕业实习的单位</w:t>
      </w:r>
      <w:bookmarkEnd w:id="199"/>
      <w:bookmarkEnd w:id="200"/>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7" name="图表 57" descr="您目前的签约工作单位是您毕业实习的单位吗"/>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目前的签约工作单位是毕业实习的单位</w:t>
      </w:r>
    </w:p>
    <w:p>
      <w:pPr>
        <w:bidi w:val="0"/>
        <w:jc w:val="left"/>
        <w:rPr>
          <w:rFonts w:hint="eastAsia"/>
          <w:lang w:val="en-US" w:eastAsia="zh-CN"/>
        </w:rPr>
      </w:pPr>
      <w:r>
        <w:rPr>
          <w:rFonts w:hint="eastAsia"/>
          <w:lang w:val="en-US" w:eastAsia="zh-CN"/>
        </w:rPr>
        <w:t>调查数据显示，目前</w:t>
      </w:r>
      <w:r>
        <w:rPr>
          <w:rFonts w:hint="eastAsia"/>
          <w:highlight w:val="yellow"/>
          <w:lang w:val="en-US" w:eastAsia="zh-CN"/>
        </w:rPr>
        <w:t>有</w:t>
      </w:r>
      <w:r>
        <w:rPr>
          <w:rFonts w:hint="eastAsia"/>
          <w:lang w:val="en-US" w:eastAsia="zh-CN"/>
        </w:rPr>
        <w:t>67.67%</w:t>
      </w:r>
      <w:r>
        <w:rPr>
          <w:rFonts w:hint="eastAsia"/>
          <w:highlight w:val="yellow"/>
          <w:lang w:val="en-US" w:eastAsia="zh-CN"/>
        </w:rPr>
        <w:t>的</w:t>
      </w:r>
      <w:r>
        <w:rPr>
          <w:rFonts w:hint="eastAsia"/>
          <w:lang w:val="en-US" w:eastAsia="zh-CN"/>
        </w:rPr>
        <w:t>毕业生签约单位是毕业实习单位，22.93%的毕业生签约单位不是毕业实习的单位，另外有9.40%的毕业生没有实习直接就业。详见上图。</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1" w:name="_Toc26294"/>
      <w:bookmarkStart w:id="202" w:name="_Toc16943"/>
      <w:r>
        <w:rPr>
          <w:rFonts w:hint="eastAsia" w:asciiTheme="minorEastAsia" w:hAnsiTheme="minorEastAsia" w:eastAsiaTheme="minorEastAsia" w:cstheme="minorEastAsia"/>
          <w:b w:val="0"/>
          <w:bCs w:val="0"/>
          <w:lang w:val="en-US" w:eastAsia="zh-CN"/>
        </w:rPr>
        <w:t>毕业实习结束后，未留在实习单位的原因</w:t>
      </w:r>
      <w:bookmarkEnd w:id="201"/>
      <w:bookmarkEnd w:id="202"/>
    </w:p>
    <w:p>
      <w:pPr>
        <w:bidi w:val="0"/>
        <w:jc w:val="left"/>
        <w:rPr>
          <w:rFonts w:hint="eastAsia"/>
          <w:lang w:val="en-US" w:eastAsia="zh-CN"/>
        </w:rPr>
      </w:pPr>
      <w:r>
        <w:rPr>
          <w:rFonts w:hint="eastAsia"/>
          <w:lang w:val="en-US" w:eastAsia="zh-CN"/>
        </w:rPr>
        <w:t>调查数据显示，想改变职业或行业是毕业生未留在实习单位的首要原因，其次是薪资福利偏低、个人发展空间不够以及对单位管理制度和文化不适应。详见下图。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6" name="图表 116" descr="您毕业实习结束后，未留在实习单位的原因（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毕业实习结束后，未留在实习单位的原因</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3" w:name="_Toc20320"/>
      <w:bookmarkStart w:id="204" w:name="_Toc21317"/>
      <w:r>
        <w:rPr>
          <w:rFonts w:hint="eastAsia" w:asciiTheme="minorEastAsia" w:hAnsiTheme="minorEastAsia" w:eastAsiaTheme="minorEastAsia" w:cstheme="minorEastAsia"/>
          <w:b w:val="0"/>
          <w:bCs w:val="0"/>
          <w:lang w:val="en-US" w:eastAsia="zh-CN"/>
        </w:rPr>
        <w:t>目前的签约工作与所学专业相关</w:t>
      </w:r>
      <w:bookmarkEnd w:id="203"/>
      <w:bookmarkEnd w:id="204"/>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8" name="图表 58" descr="您目前的签约工作与所学专业相关吗"/>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目前的签约工作与所学专业相关</w:t>
      </w:r>
    </w:p>
    <w:p>
      <w:pPr>
        <w:bidi w:val="0"/>
        <w:jc w:val="left"/>
        <w:rPr>
          <w:rFonts w:hint="eastAsia"/>
          <w:lang w:val="en-US" w:eastAsia="zh-CN"/>
        </w:rPr>
      </w:pPr>
      <w:r>
        <w:rPr>
          <w:rFonts w:hint="eastAsia"/>
          <w:lang w:val="en-US" w:eastAsia="zh-CN"/>
        </w:rPr>
        <w:t>调查数据显示，毕业生签约工作与所学专业相关度达55.26%。详见下图。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2022届毕业生签约工作与所学专业</w:t>
      </w:r>
      <w:r>
        <w:rPr>
          <w:rFonts w:hint="eastAsia" w:ascii="宋体" w:hAnsi="宋体" w:cs="宋体"/>
          <w:kern w:val="2"/>
          <w:sz w:val="21"/>
          <w:szCs w:val="21"/>
          <w:lang w:val="en-US" w:eastAsia="zh-CN" w:bidi="ar-SA"/>
        </w:rPr>
        <w:t>度</w:t>
      </w:r>
      <w:r>
        <w:rPr>
          <w:rFonts w:hint="eastAsia" w:ascii="宋体" w:hAnsi="宋体" w:eastAsia="宋体" w:cs="宋体"/>
          <w:kern w:val="2"/>
          <w:sz w:val="21"/>
          <w:szCs w:val="21"/>
          <w:lang w:val="en-US" w:eastAsia="zh-CN" w:bidi="ar-SA"/>
        </w:rPr>
        <w:t>学院分布情况表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相关</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不相关</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58.73%</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41.27%</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72.28%</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27.72%</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62.96%</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37.04%</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20.97%</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79.03%</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2022届毕业生签约工作与所学专业</w:t>
      </w:r>
      <w:r>
        <w:rPr>
          <w:rFonts w:hint="eastAsia" w:ascii="宋体" w:hAnsi="宋体" w:cs="宋体"/>
          <w:kern w:val="2"/>
          <w:sz w:val="21"/>
          <w:szCs w:val="21"/>
          <w:lang w:val="en-US" w:eastAsia="zh-CN" w:bidi="ar-SA"/>
        </w:rPr>
        <w:t>度专业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相关</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不相关</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63.64%</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7.41%</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92.59%</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63.04%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36.96%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58.82%</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41.18%</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44.44%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55.56%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57.69%</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42.31%</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62.50%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r>
    </w:tbl>
    <w:p>
      <w:pPr>
        <w:pStyle w:val="16"/>
        <w:rPr>
          <w:rFonts w:hint="eastAsia"/>
          <w:lang w:val="en-US" w:eastAsia="zh-CN"/>
        </w:rPr>
      </w:pP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5" w:name="_Toc9365"/>
      <w:bookmarkStart w:id="206" w:name="_Toc8406"/>
      <w:r>
        <w:rPr>
          <w:rFonts w:hint="eastAsia" w:asciiTheme="minorEastAsia" w:hAnsiTheme="minorEastAsia" w:eastAsiaTheme="minorEastAsia" w:cstheme="minorEastAsia"/>
          <w:b w:val="0"/>
          <w:bCs w:val="0"/>
          <w:lang w:val="en-US" w:eastAsia="zh-CN"/>
        </w:rPr>
        <w:t>从事与专业不相关工作最主要的原因是</w:t>
      </w:r>
      <w:bookmarkEnd w:id="205"/>
      <w:bookmarkEnd w:id="206"/>
    </w:p>
    <w:p>
      <w:pPr>
        <w:bidi w:val="0"/>
        <w:jc w:val="left"/>
        <w:rPr>
          <w:rFonts w:hint="eastAsia"/>
          <w:lang w:val="en-US" w:eastAsia="zh-CN"/>
        </w:rPr>
      </w:pPr>
      <w:r>
        <w:rPr>
          <w:rFonts w:hint="eastAsia"/>
          <w:lang w:val="en-US" w:eastAsia="zh-CN"/>
        </w:rPr>
        <w:t>调查数据显示，从事与专业不相关工作最主要的原因中与专业相关的工作很难找占比32.77%，更符合我的兴趣爱好为19.33%，然后是其他以及收入更高分别占比18.49%和18.49%，工作环境更好的占比18.49%。详见下图。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9" name="图表 59" descr="您从事与专业不相关工作最主要的原因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从事与专业不相关工作最主要的原因是</w:t>
      </w:r>
    </w:p>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7" w:name="_Toc19075"/>
      <w:bookmarkStart w:id="208" w:name="_Toc6625"/>
      <w:r>
        <w:rPr>
          <w:rFonts w:hint="eastAsia" w:asciiTheme="minorEastAsia" w:hAnsiTheme="minorEastAsia" w:eastAsiaTheme="minorEastAsia" w:cstheme="minorEastAsia"/>
          <w:b w:val="0"/>
          <w:bCs w:val="0"/>
          <w:lang w:val="en-US" w:eastAsia="zh-CN"/>
        </w:rPr>
        <w:t>是否适应当前工作要求</w:t>
      </w:r>
      <w:bookmarkEnd w:id="207"/>
      <w:bookmarkEnd w:id="208"/>
    </w:p>
    <w:p>
      <w:pPr>
        <w:bidi w:val="0"/>
        <w:jc w:val="left"/>
        <w:rPr>
          <w:rFonts w:hint="eastAsia"/>
          <w:lang w:val="en-US" w:eastAsia="zh-CN"/>
        </w:rPr>
      </w:pPr>
      <w:r>
        <w:rPr>
          <w:rFonts w:hint="eastAsia"/>
          <w:lang w:val="en-US" w:eastAsia="zh-CN"/>
        </w:rPr>
        <w:t>调查数据显示，毕业生就业后对当前工作的适应性非常好，高达95.86%。详见下图。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0" name="图表 60" descr="是否适应当前工作要求"/>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是否适应当前工作要求</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工作适应度</w:t>
      </w:r>
      <w:r>
        <w:rPr>
          <w:rFonts w:hint="eastAsia" w:ascii="宋体" w:hAnsi="宋体" w:eastAsia="宋体" w:cs="宋体"/>
          <w:kern w:val="2"/>
          <w:sz w:val="21"/>
          <w:szCs w:val="21"/>
          <w:lang w:val="en-US" w:eastAsia="zh-CN" w:bidi="ar-SA"/>
        </w:rPr>
        <w:t>学院分布情况表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适应</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不适应</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95.24%</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95.05%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96.30%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98.39%</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工作适应度专业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4498"/>
        <w:gridCol w:w="2063"/>
        <w:gridCol w:w="2067"/>
      </w:tblGrid>
      <w:tr>
        <w:tblPrEx>
          <w:tblCellMar>
            <w:top w:w="15" w:type="dxa"/>
            <w:left w:w="15" w:type="dxa"/>
            <w:bottom w:w="15" w:type="dxa"/>
            <w:right w:w="15" w:type="dxa"/>
          </w:tblCellMar>
        </w:tblPrEx>
        <w:trPr>
          <w:trHeight w:val="567" w:hRule="atLeast"/>
          <w:jc w:val="center"/>
        </w:trPr>
        <w:tc>
          <w:tcPr>
            <w:tcW w:w="2606"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195"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适应</w:t>
            </w:r>
          </w:p>
        </w:tc>
        <w:tc>
          <w:tcPr>
            <w:tcW w:w="11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不适应</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96.30%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95.65%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94.55%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88.89%</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96.15%</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r>
      <w:tr>
        <w:tblPrEx>
          <w:tblCellMar>
            <w:top w:w="15" w:type="dxa"/>
            <w:left w:w="15" w:type="dxa"/>
            <w:bottom w:w="15" w:type="dxa"/>
            <w:right w:w="15" w:type="dxa"/>
          </w:tblCellMar>
        </w:tblPrEx>
        <w:trPr>
          <w:trHeight w:val="454" w:hRule="atLeast"/>
          <w:jc w:val="center"/>
        </w:trPr>
        <w:tc>
          <w:tcPr>
            <w:tcW w:w="2606"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1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bl>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09" w:name="_Toc22901"/>
      <w:bookmarkStart w:id="210" w:name="_Toc29182"/>
      <w:r>
        <w:rPr>
          <w:rFonts w:hint="eastAsia" w:asciiTheme="minorEastAsia" w:hAnsiTheme="minorEastAsia" w:eastAsiaTheme="minorEastAsia" w:cstheme="minorEastAsia"/>
          <w:b w:val="0"/>
          <w:bCs w:val="0"/>
          <w:lang w:val="en-US" w:eastAsia="zh-CN"/>
        </w:rPr>
        <w:t>不适应当前工作最主要的原因是</w:t>
      </w:r>
      <w:bookmarkEnd w:id="209"/>
      <w:bookmarkEnd w:id="210"/>
    </w:p>
    <w:p>
      <w:pPr>
        <w:bidi w:val="0"/>
        <w:jc w:val="left"/>
        <w:rPr>
          <w:rFonts w:hint="eastAsia"/>
          <w:lang w:val="en-US" w:eastAsia="zh-CN"/>
        </w:rPr>
      </w:pPr>
      <w:r>
        <w:rPr>
          <w:rFonts w:hint="eastAsia"/>
          <w:lang w:val="en-US" w:eastAsia="zh-CN"/>
        </w:rPr>
        <w:t>调查数据显示，毕业生工作后不适应当前工作的最主要原因中较强的专业技术要求是首要原因，占比27.27%，其次是学校所学知识不能满足工作需求和人际关系处理不好占比同为27.27%和18.18%。详见下图。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1" name="图表 61" descr="不适应当前工作最主要的原因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不适应当前工作最主要的原因是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1" w:name="_Toc20987"/>
      <w:bookmarkStart w:id="212" w:name="_Toc27328"/>
      <w:r>
        <w:rPr>
          <w:rFonts w:hint="eastAsia" w:asciiTheme="minorEastAsia" w:hAnsiTheme="minorEastAsia" w:eastAsiaTheme="minorEastAsia" w:cstheme="minorEastAsia"/>
          <w:b w:val="0"/>
          <w:bCs w:val="0"/>
          <w:lang w:val="en-US" w:eastAsia="zh-CN"/>
        </w:rPr>
        <w:t>当前工作是第几份工作</w:t>
      </w:r>
      <w:bookmarkEnd w:id="211"/>
      <w:bookmarkEnd w:id="212"/>
    </w:p>
    <w:p>
      <w:pPr>
        <w:bidi w:val="0"/>
        <w:jc w:val="left"/>
        <w:rPr>
          <w:rFonts w:hint="eastAsia"/>
          <w:lang w:val="en-US" w:eastAsia="zh-CN"/>
        </w:rPr>
      </w:pPr>
      <w:r>
        <w:rPr>
          <w:rFonts w:hint="eastAsia"/>
          <w:lang w:val="en-US" w:eastAsia="zh-CN"/>
        </w:rPr>
        <w:t>调查数据显示，51.13%的毕业生是第一份工作，工作稳定性好，很好的适应了当前工作，这与毕业生是否适应当前工作是一致的。详见下图。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2" name="图表 62" descr="当前工作是您第几份工作"/>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hAnsi="宋体" w:cs="宋体"/>
          <w:kern w:val="2"/>
          <w:sz w:val="21"/>
          <w:szCs w:val="21"/>
          <w:lang w:val="en-US" w:eastAsia="zh-CN" w:bidi="ar-SA"/>
        </w:rPr>
        <w:t>图5-3-</w:t>
      </w:r>
      <w:r>
        <w:rPr>
          <w:rFonts w:hint="eastAsia"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2</w:t>
      </w:r>
      <w:r>
        <w:rPr>
          <w:rFonts w:hint="eastAsia" w:ascii="宋体" w:hAnsi="宋体" w:eastAsia="宋体" w:cs="宋体"/>
          <w:kern w:val="2"/>
          <w:sz w:val="21"/>
          <w:szCs w:val="21"/>
          <w:lang w:val="en-US" w:eastAsia="zh-CN" w:bidi="ar-SA"/>
        </w:rPr>
        <w:t xml:space="preserve"> 当前工作是第几份工作</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3" w:name="_Toc8934"/>
      <w:bookmarkStart w:id="214" w:name="_Toc31615"/>
      <w:r>
        <w:rPr>
          <w:rFonts w:hint="eastAsia" w:asciiTheme="minorEastAsia" w:hAnsiTheme="minorEastAsia" w:eastAsiaTheme="minorEastAsia" w:cstheme="minorEastAsia"/>
          <w:b w:val="0"/>
          <w:bCs w:val="0"/>
          <w:lang w:val="en-US" w:eastAsia="zh-CN"/>
        </w:rPr>
        <w:t>找到第一份工作(签约)距离第一次投递求职简历的时间</w:t>
      </w:r>
      <w:bookmarkEnd w:id="213"/>
      <w:bookmarkEnd w:id="214"/>
    </w:p>
    <w:p>
      <w:pPr>
        <w:bidi w:val="0"/>
        <w:jc w:val="left"/>
        <w:rPr>
          <w:rFonts w:hint="eastAsia"/>
          <w:highlight w:val="none"/>
          <w:lang w:val="en-US" w:eastAsia="zh-CN"/>
        </w:rPr>
      </w:pPr>
      <w:r>
        <w:rPr>
          <w:rFonts w:hint="eastAsia"/>
          <w:highlight w:val="none"/>
          <w:lang w:val="en-US" w:eastAsia="zh-CN"/>
        </w:rPr>
        <w:t>调查数据显示，70.30%的毕业生在投出简历后在一个月内就落实了工作，两个月之内落实工作的有83.83%的毕业生，92.86%的毕业生能在3个月内找到工作。详见下图。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3" name="图表 63" descr="您找到第一份工作(签约)距离第一次投递求职简历的时间大约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找到第一份工作(签约)距离第一次投递求职简历的时间</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5" w:name="_Toc16624"/>
      <w:bookmarkStart w:id="216" w:name="_Toc7506"/>
      <w:r>
        <w:rPr>
          <w:rFonts w:hint="eastAsia" w:asciiTheme="minorEastAsia" w:hAnsiTheme="minorEastAsia" w:eastAsiaTheme="minorEastAsia" w:cstheme="minorEastAsia"/>
          <w:b w:val="0"/>
          <w:bCs w:val="0"/>
          <w:lang w:val="en-US" w:eastAsia="zh-CN"/>
        </w:rPr>
        <w:t>对当前工作总体满意度</w:t>
      </w:r>
      <w:bookmarkEnd w:id="215"/>
      <w:bookmarkEnd w:id="216"/>
    </w:p>
    <w:p>
      <w:pPr>
        <w:bidi w:val="0"/>
        <w:jc w:val="left"/>
        <w:rPr>
          <w:rFonts w:hint="eastAsia"/>
          <w:highlight w:val="none"/>
          <w:lang w:val="en-US" w:eastAsia="zh-CN"/>
        </w:rPr>
      </w:pPr>
      <w:r>
        <w:rPr>
          <w:rFonts w:hint="eastAsia"/>
          <w:highlight w:val="none"/>
          <w:lang w:val="en-US" w:eastAsia="zh-CN"/>
        </w:rPr>
        <w:t>调查数据显示，毕业生对当前工作总体满意度高达91.73%，其中非常满意26.69%，满意65.04%，只有0.38%的毕业生对当前工作很不满意。详见下图。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4" name="图表 64" descr="您对当前工作总体满意度"/>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对当前工作总体满意度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2022届毕业生对当前工作总体满意度学院分布情况表</w:t>
      </w: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08"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不满意</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很不满意</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25.74%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64.36%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8.91%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0.99%</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14.81%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27.42%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67.74%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2022届毕业生对当前工作总体满意度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395"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非常满意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不满意</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很不满意</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72.73%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16.67%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29.63%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62.96%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7.41%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23.91%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67.39%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41.18%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61.82%</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55.56%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11.11%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73.08%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bl>
    <w:p>
      <w:pPr>
        <w:pStyle w:val="4"/>
        <w:numPr>
          <w:ilvl w:val="0"/>
          <w:numId w:val="0"/>
        </w:numPr>
        <w:bidi w:val="0"/>
        <w:ind w:left="420" w:leftChars="0"/>
        <w:outlineLvl w:val="9"/>
        <w:rPr>
          <w:rFonts w:hint="eastAsia" w:asciiTheme="minorEastAsia" w:hAnsiTheme="minorEastAsia" w:eastAsiaTheme="minorEastAsia" w:cstheme="minorEastAsia"/>
          <w:b w:val="0"/>
          <w:bCs w:val="0"/>
          <w:lang w:val="en-US" w:eastAsia="zh-CN"/>
        </w:rPr>
      </w:pPr>
      <w:bookmarkStart w:id="217" w:name="_Toc5591"/>
      <w:bookmarkStart w:id="218" w:name="_Toc18980"/>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对目前签约工作不满意的原因是</w:t>
      </w:r>
      <w:bookmarkEnd w:id="217"/>
      <w:bookmarkEnd w:id="218"/>
    </w:p>
    <w:p>
      <w:pPr>
        <w:bidi w:val="0"/>
        <w:jc w:val="left"/>
        <w:rPr>
          <w:rFonts w:hint="eastAsia"/>
          <w:lang w:val="en-US" w:eastAsia="zh-CN"/>
        </w:rPr>
      </w:pPr>
      <w:r>
        <w:rPr>
          <w:rFonts w:hint="eastAsia"/>
          <w:lang w:val="en-US" w:eastAsia="zh-CN"/>
        </w:rPr>
        <w:t>调查数据显示，毕业生对当前签约工作不满意的首要原因是收入低，其次是个人发展空间小和人际关系复杂难处理，详见下图。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7" name="图表 117" descr="您对目前签约工作不满意的原因是（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对目前签约工作不满意的原因是</w:t>
      </w:r>
    </w:p>
    <w:p>
      <w:pPr>
        <w:pStyle w:val="4"/>
        <w:numPr>
          <w:ilvl w:val="0"/>
          <w:numId w:val="9"/>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19" w:name="_Toc17342"/>
      <w:bookmarkStart w:id="220" w:name="_Toc895"/>
      <w:r>
        <w:rPr>
          <w:rFonts w:hint="eastAsia" w:asciiTheme="minorEastAsia" w:hAnsiTheme="minorEastAsia" w:eastAsiaTheme="minorEastAsia" w:cstheme="minorEastAsia"/>
          <w:b w:val="0"/>
          <w:bCs w:val="0"/>
          <w:lang w:val="en-US" w:eastAsia="zh-CN"/>
        </w:rPr>
        <w:t>对就业能力的评价比较重要的指标有</w:t>
      </w:r>
      <w:bookmarkEnd w:id="219"/>
      <w:bookmarkEnd w:id="220"/>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8" name="图表 118" descr="您认为对就业能力的评价比较重要的指标有（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对就业能力的评价比较重要的指标</w:t>
      </w:r>
    </w:p>
    <w:p>
      <w:pPr>
        <w:bidi w:val="0"/>
        <w:jc w:val="left"/>
        <w:rPr>
          <w:rFonts w:hint="eastAsia"/>
          <w:lang w:val="en-US" w:eastAsia="zh-CN"/>
        </w:rPr>
      </w:pPr>
      <w:r>
        <w:rPr>
          <w:rFonts w:hint="eastAsia"/>
          <w:lang w:val="en-US" w:eastAsia="zh-CN"/>
        </w:rPr>
        <w:t>调查数据显示，有效的口头沟通、积极学习和逻辑思维是毕业生认为对就业能力的评价比较重要的指标的前三项，分别占比63.91%、59.40%和42.48%。详见上图。</w:t>
      </w:r>
    </w:p>
    <w:p>
      <w:pPr>
        <w:pStyle w:val="3"/>
        <w:numPr>
          <w:ilvl w:val="0"/>
          <w:numId w:val="6"/>
        </w:numPr>
        <w:bidi w:val="0"/>
        <w:rPr>
          <w:rFonts w:hint="eastAsia"/>
          <w:lang w:val="en-US" w:eastAsia="zh-CN"/>
        </w:rPr>
      </w:pPr>
      <w:bookmarkStart w:id="221" w:name="_Toc16759"/>
      <w:bookmarkStart w:id="222" w:name="_Toc25347"/>
      <w:bookmarkStart w:id="223" w:name="_Toc7096"/>
      <w:r>
        <w:rPr>
          <w:rFonts w:hint="eastAsia"/>
          <w:lang w:val="en-US" w:eastAsia="zh-CN"/>
        </w:rPr>
        <w:t>毕业生升学状况分析</w:t>
      </w:r>
      <w:bookmarkEnd w:id="221"/>
      <w:bookmarkEnd w:id="222"/>
      <w:bookmarkEnd w:id="223"/>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24" w:name="_Toc6567"/>
      <w:bookmarkStart w:id="225" w:name="_Toc31902"/>
      <w:r>
        <w:rPr>
          <w:rFonts w:hint="eastAsia" w:asciiTheme="minorEastAsia" w:hAnsiTheme="minorEastAsia" w:eastAsiaTheme="minorEastAsia" w:cstheme="minorEastAsia"/>
          <w:b w:val="0"/>
          <w:bCs w:val="0"/>
          <w:lang w:val="en-US" w:eastAsia="zh-CN"/>
        </w:rPr>
        <w:t>选择升学而非直接就业的最主要原因</w:t>
      </w:r>
      <w:bookmarkEnd w:id="224"/>
      <w:bookmarkEnd w:id="225"/>
    </w:p>
    <w:p>
      <w:pPr>
        <w:bidi w:val="0"/>
        <w:jc w:val="left"/>
        <w:rPr>
          <w:rFonts w:hint="eastAsia"/>
          <w:lang w:val="en-US" w:eastAsia="zh-CN"/>
        </w:rPr>
      </w:pPr>
      <w:r>
        <w:rPr>
          <w:rFonts w:hint="eastAsia"/>
          <w:lang w:val="en-US" w:eastAsia="zh-CN"/>
        </w:rPr>
        <w:t>调查数据显示，对自己现有的学历层次不满足是毕业生选择升学而非就业的主要原因，占比64.09%，其次是谋求更好的职业发展前景，占比18.20%，详见下图。</w:t>
      </w:r>
      <w:r>
        <w:rPr>
          <w:rFonts w:hint="eastAsia" w:eastAsia="宋体"/>
          <w:lang w:eastAsia="zh-CN"/>
        </w:rPr>
        <w:drawing>
          <wp:inline distT="0" distB="0" distL="114300" distR="114300">
            <wp:extent cx="5455920" cy="3791585"/>
            <wp:effectExtent l="0" t="0" r="1905" b="8890"/>
            <wp:docPr id="42" name="图表 42" descr="您选择升学而非直接就业的最主要原因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图 </w:t>
      </w:r>
      <w:r>
        <w:rPr>
          <w:rFonts w:hint="eastAsia" w:ascii="宋体" w:hAnsi="宋体" w:eastAsia="宋体" w:cs="宋体"/>
          <w:kern w:val="2"/>
          <w:sz w:val="21"/>
          <w:szCs w:val="21"/>
          <w:lang w:val="en-US" w:eastAsia="zh-CN" w:bidi="ar-SA"/>
        </w:rPr>
        <w:t>选择升学而非直接就业的最主要原因是</w:t>
      </w:r>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26" w:name="_Toc14829"/>
      <w:bookmarkStart w:id="227" w:name="_Toc3240"/>
      <w:r>
        <w:rPr>
          <w:rFonts w:hint="eastAsia" w:asciiTheme="minorEastAsia" w:hAnsiTheme="minorEastAsia" w:eastAsiaTheme="minorEastAsia" w:cstheme="minorEastAsia"/>
          <w:b w:val="0"/>
          <w:bCs w:val="0"/>
          <w:lang w:val="en-US" w:eastAsia="zh-CN"/>
        </w:rPr>
        <w:t>升学专业与刚所学专业相关性</w:t>
      </w:r>
      <w:bookmarkEnd w:id="226"/>
      <w:bookmarkEnd w:id="227"/>
    </w:p>
    <w:p>
      <w:pPr>
        <w:bidi w:val="0"/>
        <w:jc w:val="left"/>
        <w:rPr>
          <w:rFonts w:hint="eastAsia"/>
          <w:lang w:val="en-US" w:eastAsia="zh-CN"/>
        </w:rPr>
      </w:pPr>
      <w:r>
        <w:rPr>
          <w:rFonts w:hint="eastAsia"/>
          <w:lang w:val="en-US" w:eastAsia="zh-CN"/>
        </w:rPr>
        <w:t>调查数据显示，升学专业与刚所学专业相关一致性高达46.13%，相关和相关性不大分别占比33.92%和13.22%。详见下图。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5" name="图表 65" descr="您升学专业与刚所学专业相关吗"/>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升学专业与刚所学专业相关性</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升学专业相关性</w:t>
      </w:r>
      <w:r>
        <w:rPr>
          <w:rFonts w:hint="eastAsia" w:ascii="宋体" w:hAnsi="宋体" w:eastAsia="宋体" w:cs="宋体"/>
          <w:kern w:val="2"/>
          <w:sz w:val="21"/>
          <w:szCs w:val="21"/>
          <w:lang w:val="en-US" w:eastAsia="zh-CN" w:bidi="ar-SA"/>
        </w:rPr>
        <w:t>学院分布情况表</w:t>
      </w: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808"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一致</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相关</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不相关</w:t>
            </w:r>
          </w:p>
        </w:tc>
        <w:tc>
          <w:tcPr>
            <w:tcW w:w="809"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相关性不大</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26.96%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50.43%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4.35%</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62.22%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6.67%</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24.44%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6.67%</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24.39%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14.63%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53.66%</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7.32%</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81.82%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76.92%</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64.49%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8.41%</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25.23%</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1.87%</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808"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40.58%</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17.39%</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21.74%</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20.29%</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w:t>
      </w:r>
      <w:r>
        <w:rPr>
          <w:rFonts w:hint="eastAsia" w:ascii="宋体" w:hAnsi="宋体" w:cs="宋体"/>
          <w:kern w:val="2"/>
          <w:sz w:val="21"/>
          <w:szCs w:val="21"/>
          <w:lang w:val="en-US" w:eastAsia="zh-CN" w:bidi="ar-SA"/>
        </w:rPr>
        <w:t>升学专业相关性专业</w:t>
      </w:r>
      <w:r>
        <w:rPr>
          <w:rFonts w:hint="eastAsia" w:ascii="宋体" w:hAnsi="宋体" w:eastAsia="宋体" w:cs="宋体"/>
          <w:kern w:val="2"/>
          <w:sz w:val="21"/>
          <w:szCs w:val="21"/>
          <w:lang w:val="en-US" w:eastAsia="zh-CN" w:bidi="ar-SA"/>
        </w:rPr>
        <w:t>分布情况表</w:t>
      </w:r>
    </w:p>
    <w:tbl>
      <w:tblPr>
        <w:tblStyle w:val="17"/>
        <w:tblW w:w="4998" w:type="pct"/>
        <w:jc w:val="center"/>
        <w:tblLayout w:type="autofit"/>
        <w:tblCellMar>
          <w:top w:w="15" w:type="dxa"/>
          <w:left w:w="15" w:type="dxa"/>
          <w:bottom w:w="15" w:type="dxa"/>
          <w:right w:w="15" w:type="dxa"/>
        </w:tblCellMar>
      </w:tblPr>
      <w:tblGrid>
        <w:gridCol w:w="3041"/>
        <w:gridCol w:w="1395"/>
        <w:gridCol w:w="1397"/>
        <w:gridCol w:w="1397"/>
        <w:gridCol w:w="1397"/>
      </w:tblGrid>
      <w:tr>
        <w:tblPrEx>
          <w:tblCellMar>
            <w:top w:w="15" w:type="dxa"/>
            <w:left w:w="15" w:type="dxa"/>
            <w:bottom w:w="15" w:type="dxa"/>
            <w:right w:w="15" w:type="dxa"/>
          </w:tblCellMar>
        </w:tblPrEx>
        <w:trPr>
          <w:trHeight w:val="567" w:hRule="atLeast"/>
          <w:jc w:val="center"/>
        </w:trPr>
        <w:tc>
          <w:tcPr>
            <w:tcW w:w="1762"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1395"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一致</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default"/>
                <w:b/>
                <w:bCs/>
                <w:color w:val="FFFFFF"/>
                <w:lang w:val="en-US" w:eastAsia="zh-CN"/>
              </w:rPr>
            </w:pPr>
            <w:r>
              <w:rPr>
                <w:rFonts w:hint="eastAsia"/>
                <w:b/>
                <w:bCs/>
                <w:color w:val="FFFFFF"/>
                <w:lang w:val="en-US" w:eastAsia="zh-CN"/>
              </w:rPr>
              <w:t>相关</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不相关</w:t>
            </w:r>
          </w:p>
        </w:tc>
        <w:tc>
          <w:tcPr>
            <w:tcW w:w="1397" w:type="dxa"/>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ind w:firstLine="0" w:firstLineChars="0"/>
              <w:rPr>
                <w:rFonts w:hint="eastAsia"/>
                <w:b/>
                <w:bCs/>
                <w:color w:val="FFFFFF"/>
                <w:lang w:val="en-US" w:eastAsia="zh-CN"/>
              </w:rPr>
            </w:pPr>
            <w:r>
              <w:rPr>
                <w:rFonts w:hint="eastAsia"/>
                <w:b/>
                <w:bCs/>
                <w:color w:val="FFFFFF"/>
                <w:lang w:val="en-US" w:eastAsia="zh-CN"/>
              </w:rPr>
              <w:t>相关性不大</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72.73%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15.15%</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12.12%</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76.92%</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18.75%</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56.25%</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64.29%</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52.94%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11.76%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11.76%</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15.63%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15.63%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65.63%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3.13%</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14.29%</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57.14%</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67.86%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58.33%</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87.50%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64.55%</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8.18%</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25.45%</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1.82%</w:t>
            </w:r>
          </w:p>
        </w:tc>
      </w:tr>
      <w:tr>
        <w:tblPrEx>
          <w:tblCellMar>
            <w:top w:w="15" w:type="dxa"/>
            <w:left w:w="15" w:type="dxa"/>
            <w:bottom w:w="15" w:type="dxa"/>
            <w:right w:w="15" w:type="dxa"/>
          </w:tblCellMar>
        </w:tblPrEx>
        <w:trPr>
          <w:trHeight w:val="454" w:hRule="atLeast"/>
          <w:jc w:val="center"/>
        </w:trPr>
        <w:tc>
          <w:tcPr>
            <w:tcW w:w="1762"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10.71%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17.86%</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60.71%</w:t>
            </w:r>
          </w:p>
        </w:tc>
        <w:tc>
          <w:tcPr>
            <w:tcW w:w="1397"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10.71%</w:t>
            </w:r>
          </w:p>
        </w:tc>
      </w:tr>
    </w:tbl>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28" w:name="_Toc3051"/>
      <w:bookmarkStart w:id="229" w:name="_Toc12825"/>
      <w:r>
        <w:rPr>
          <w:rFonts w:hint="eastAsia" w:asciiTheme="minorEastAsia" w:hAnsiTheme="minorEastAsia" w:eastAsiaTheme="minorEastAsia" w:cstheme="minorEastAsia"/>
          <w:b w:val="0"/>
          <w:bCs w:val="0"/>
          <w:lang w:val="en-US" w:eastAsia="zh-CN"/>
        </w:rPr>
        <w:t>升学选择目前专业的最主要原因</w:t>
      </w:r>
      <w:bookmarkEnd w:id="228"/>
      <w:bookmarkEnd w:id="229"/>
    </w:p>
    <w:p>
      <w:pPr>
        <w:bidi w:val="0"/>
        <w:jc w:val="left"/>
        <w:rPr>
          <w:rFonts w:hint="eastAsia"/>
          <w:lang w:val="en-US" w:eastAsia="zh-CN"/>
        </w:rPr>
      </w:pPr>
      <w:r>
        <w:rPr>
          <w:rFonts w:hint="eastAsia"/>
          <w:lang w:val="en-US" w:eastAsia="zh-CN"/>
        </w:rPr>
        <w:t>调查数据显示，个人兴趣是升学选择目前专业的最主要原因，占比30.30%，其次是就业前景好和考取希望大，分别占比24.24%和15.15%。详见下图。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43" name="图表 43" descr="您升学选择目前专业的最主要原因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升学选择目前专业的最主要原因</w:t>
      </w:r>
    </w:p>
    <w:p>
      <w:pPr>
        <w:pStyle w:val="4"/>
        <w:numPr>
          <w:ilvl w:val="0"/>
          <w:numId w:val="10"/>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30" w:name="_Toc6424"/>
      <w:bookmarkStart w:id="231" w:name="_Toc14945"/>
      <w:r>
        <w:rPr>
          <w:rFonts w:hint="eastAsia" w:asciiTheme="minorEastAsia" w:hAnsiTheme="minorEastAsia" w:eastAsiaTheme="minorEastAsia" w:cstheme="minorEastAsia"/>
          <w:b w:val="0"/>
          <w:bCs w:val="0"/>
          <w:lang w:val="en-US" w:eastAsia="zh-CN"/>
        </w:rPr>
        <w:t>升学选择目前学校的原因</w:t>
      </w:r>
      <w:bookmarkEnd w:id="230"/>
      <w:bookmarkEnd w:id="231"/>
    </w:p>
    <w:p>
      <w:pPr>
        <w:bidi w:val="0"/>
        <w:jc w:val="left"/>
        <w:rPr>
          <w:rFonts w:hint="eastAsia"/>
          <w:lang w:val="en-US" w:eastAsia="zh-CN"/>
        </w:rPr>
      </w:pPr>
      <w:r>
        <w:rPr>
          <w:rFonts w:hint="eastAsia"/>
          <w:lang w:val="en-US" w:eastAsia="zh-CN"/>
        </w:rPr>
        <w:t>调查数据显示，就业前景好是毕业生选择升学学校的主要原因占比42.64%，其次是考取希望大占比37.66%。详见下图。</w:t>
      </w:r>
      <w:r>
        <w:rPr>
          <w:rFonts w:hint="eastAsia" w:eastAsia="宋体"/>
          <w:lang w:eastAsia="zh-CN"/>
        </w:rPr>
        <w:drawing>
          <wp:inline distT="0" distB="0" distL="114300" distR="114300">
            <wp:extent cx="5455920" cy="3791585"/>
            <wp:effectExtent l="0" t="0" r="1905" b="8890"/>
            <wp:docPr id="44" name="图表 44" descr="您升学选择目前学校的原因是（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升学选择目前学校的原因</w:t>
      </w:r>
    </w:p>
    <w:p>
      <w:pPr>
        <w:pStyle w:val="3"/>
        <w:numPr>
          <w:ilvl w:val="0"/>
          <w:numId w:val="6"/>
        </w:numPr>
        <w:bidi w:val="0"/>
        <w:rPr>
          <w:rFonts w:hint="default"/>
          <w:lang w:val="en-US" w:eastAsia="zh-CN"/>
        </w:rPr>
      </w:pPr>
      <w:bookmarkStart w:id="232" w:name="_Toc4113"/>
      <w:bookmarkStart w:id="233" w:name="_Toc12874"/>
      <w:bookmarkStart w:id="234" w:name="_Toc20698"/>
      <w:r>
        <w:rPr>
          <w:rFonts w:hint="eastAsia"/>
          <w:lang w:val="en-US" w:eastAsia="zh-CN"/>
        </w:rPr>
        <w:t>毕业生自由职业情况分析</w:t>
      </w:r>
      <w:bookmarkEnd w:id="232"/>
      <w:bookmarkEnd w:id="233"/>
      <w:bookmarkEnd w:id="234"/>
    </w:p>
    <w:p>
      <w:pPr>
        <w:pStyle w:val="4"/>
        <w:numPr>
          <w:ilvl w:val="0"/>
          <w:numId w:val="11"/>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35" w:name="_Toc2656"/>
      <w:bookmarkStart w:id="236" w:name="_Toc32083"/>
      <w:r>
        <w:rPr>
          <w:rFonts w:hint="eastAsia" w:asciiTheme="minorEastAsia" w:hAnsiTheme="minorEastAsia" w:eastAsiaTheme="minorEastAsia" w:cstheme="minorEastAsia"/>
          <w:b w:val="0"/>
          <w:bCs w:val="0"/>
          <w:lang w:val="en-US" w:eastAsia="zh-CN"/>
        </w:rPr>
        <w:t>选择自由职业而不是固定岗位工作的主要原因</w:t>
      </w:r>
      <w:bookmarkEnd w:id="235"/>
      <w:bookmarkEnd w:id="236"/>
    </w:p>
    <w:p>
      <w:pPr>
        <w:bidi w:val="0"/>
        <w:jc w:val="left"/>
        <w:rPr>
          <w:rFonts w:hint="eastAsia"/>
          <w:lang w:val="en-US" w:eastAsia="zh-CN"/>
        </w:rPr>
      </w:pPr>
      <w:r>
        <w:rPr>
          <w:rFonts w:hint="eastAsia"/>
          <w:lang w:val="en-US" w:eastAsia="zh-CN"/>
        </w:rPr>
        <w:t>调查数据显示，喜欢自由的生活方式是选择自由职业而不是固定岗位工作的主要原因，占比41.18%，所学专业适合自由职业的占比41.18%，另外暂时没有找到满意工作占比35.29%。详见下图。</w:t>
      </w:r>
      <w:r>
        <w:rPr>
          <w:rFonts w:hint="eastAsia" w:eastAsia="宋体"/>
          <w:lang w:eastAsia="zh-CN"/>
        </w:rPr>
        <w:drawing>
          <wp:inline distT="0" distB="0" distL="114300" distR="114300">
            <wp:extent cx="5455920" cy="1939290"/>
            <wp:effectExtent l="0" t="0" r="1905" b="3810"/>
            <wp:docPr id="45" name="图表 45" descr="您选择自由职业而不是固定岗位工作的主要原因（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选择自由职业而不是固定岗位工作的主要原因</w:t>
      </w:r>
    </w:p>
    <w:p>
      <w:pPr>
        <w:pStyle w:val="4"/>
        <w:numPr>
          <w:ilvl w:val="0"/>
          <w:numId w:val="11"/>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37" w:name="_Toc32492"/>
      <w:bookmarkStart w:id="238" w:name="_Toc31400"/>
      <w:r>
        <w:rPr>
          <w:rFonts w:hint="eastAsia" w:asciiTheme="minorEastAsia" w:hAnsiTheme="minorEastAsia" w:eastAsiaTheme="minorEastAsia" w:cstheme="minorEastAsia"/>
          <w:b w:val="0"/>
          <w:bCs w:val="0"/>
          <w:lang w:val="en-US" w:eastAsia="zh-CN"/>
        </w:rPr>
        <w:t>目前从事的自由职业的平均月收入（税前）</w:t>
      </w:r>
      <w:bookmarkEnd w:id="237"/>
      <w:bookmarkEnd w:id="238"/>
    </w:p>
    <w:p>
      <w:pPr>
        <w:bidi w:val="0"/>
        <w:jc w:val="left"/>
        <w:rPr>
          <w:rFonts w:hint="eastAsia"/>
          <w:lang w:val="en-US" w:eastAsia="zh-CN"/>
        </w:rPr>
      </w:pPr>
      <w:r>
        <w:rPr>
          <w:rFonts w:hint="eastAsia"/>
          <w:lang w:val="en-US" w:eastAsia="zh-CN"/>
        </w:rPr>
        <w:t>调查数据显示，从事的自由职业的平均月收入在2000-3999元最多占比44.12%，4000-5999元和6000-7999元元的较低收入和较高收入占比分别是29.41%和14.71%，2.94%的毕业生收入超过1万元，详见下图。</w:t>
      </w:r>
    </w:p>
    <w:p>
      <w:pPr>
        <w:pStyle w:val="16"/>
        <w:ind w:left="0" w:leftChars="0" w:firstLine="0" w:firstLineChars="0"/>
        <w:rPr>
          <w:rFonts w:hint="eastAsia"/>
          <w:lang w:val="en-US" w:eastAsia="zh-CN"/>
        </w:rPr>
      </w:pPr>
      <w:r>
        <w:rPr>
          <w:rFonts w:hint="eastAsia" w:eastAsia="宋体"/>
          <w:lang w:eastAsia="zh-CN"/>
        </w:rPr>
        <w:drawing>
          <wp:inline distT="0" distB="0" distL="114300" distR="114300">
            <wp:extent cx="5455920" cy="3791585"/>
            <wp:effectExtent l="0" t="0" r="1905" b="8890"/>
            <wp:docPr id="46" name="图表 46" descr="您目前从事的自由职业的平均月收入（税前）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目前从事的自由职业的平均月收入（税前）</w:t>
      </w:r>
    </w:p>
    <w:p>
      <w:pPr>
        <w:pStyle w:val="3"/>
        <w:numPr>
          <w:ilvl w:val="0"/>
          <w:numId w:val="6"/>
        </w:numPr>
        <w:bidi w:val="0"/>
        <w:rPr>
          <w:rFonts w:hint="eastAsia"/>
          <w:lang w:val="en-US" w:eastAsia="zh-CN"/>
        </w:rPr>
      </w:pPr>
      <w:bookmarkStart w:id="239" w:name="_Toc18377"/>
      <w:bookmarkStart w:id="240" w:name="_Toc2573"/>
      <w:bookmarkStart w:id="241" w:name="_Toc4066"/>
      <w:r>
        <w:rPr>
          <w:rFonts w:hint="eastAsia"/>
          <w:lang w:val="en-US" w:eastAsia="zh-CN"/>
        </w:rPr>
        <w:t>毕业生未就业分析</w:t>
      </w:r>
      <w:bookmarkEnd w:id="239"/>
      <w:bookmarkEnd w:id="240"/>
      <w:bookmarkEnd w:id="241"/>
    </w:p>
    <w:p>
      <w:pPr>
        <w:pStyle w:val="4"/>
        <w:numPr>
          <w:ilvl w:val="0"/>
          <w:numId w:val="12"/>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42" w:name="_Toc20681"/>
      <w:bookmarkStart w:id="243" w:name="_Toc29423"/>
      <w:r>
        <w:rPr>
          <w:rFonts w:hint="eastAsia" w:asciiTheme="minorEastAsia" w:hAnsiTheme="minorEastAsia" w:eastAsiaTheme="minorEastAsia" w:cstheme="minorEastAsia"/>
          <w:b w:val="0"/>
          <w:bCs w:val="0"/>
          <w:lang w:val="en-US" w:eastAsia="zh-CN"/>
        </w:rPr>
        <w:t>认为自己尚未找到工作的主要原因</w:t>
      </w:r>
      <w:bookmarkEnd w:id="242"/>
      <w:bookmarkEnd w:id="243"/>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119" name="图表 119" descr="您认为自己尚未找到工作的主要原因是（可多选，限选3项）"/>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认为自己尚未找到工作的主要原因</w:t>
      </w:r>
    </w:p>
    <w:p>
      <w:pPr>
        <w:bidi w:val="0"/>
        <w:jc w:val="left"/>
        <w:rPr>
          <w:rFonts w:hint="eastAsia"/>
          <w:lang w:val="en-US" w:eastAsia="zh-CN"/>
        </w:rPr>
      </w:pPr>
      <w:r>
        <w:rPr>
          <w:rFonts w:hint="eastAsia"/>
          <w:lang w:val="en-US" w:eastAsia="zh-CN"/>
        </w:rPr>
        <w:t>调查数据显示，学历不够、找到的工作不满意和实习实践经验缺乏是毕业生认为自己尚未找到工作的主要原因，详见下图。</w:t>
      </w:r>
    </w:p>
    <w:p>
      <w:pPr>
        <w:pStyle w:val="4"/>
        <w:numPr>
          <w:ilvl w:val="0"/>
          <w:numId w:val="12"/>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44" w:name="_Toc18520"/>
      <w:bookmarkStart w:id="245" w:name="_Toc7401"/>
      <w:r>
        <w:rPr>
          <w:rFonts w:hint="eastAsia" w:asciiTheme="minorEastAsia" w:hAnsiTheme="minorEastAsia" w:eastAsiaTheme="minorEastAsia" w:cstheme="minorEastAsia"/>
          <w:b w:val="0"/>
          <w:bCs w:val="0"/>
          <w:lang w:val="en-US" w:eastAsia="zh-CN"/>
        </w:rPr>
        <w:t>暂不就业毕业生目前的打算</w:t>
      </w:r>
      <w:bookmarkEnd w:id="244"/>
      <w:bookmarkEnd w:id="245"/>
    </w:p>
    <w:p>
      <w:pPr>
        <w:bidi w:val="0"/>
        <w:jc w:val="left"/>
        <w:rPr>
          <w:rFonts w:hint="eastAsia"/>
          <w:lang w:val="en-US" w:eastAsia="zh-CN"/>
        </w:rPr>
      </w:pPr>
      <w:r>
        <w:rPr>
          <w:rFonts w:hint="eastAsia"/>
          <w:lang w:val="en-US" w:eastAsia="zh-CN"/>
        </w:rPr>
        <w:t>调查数据显示，在目前暂不就业的毕业生中，其他的占比46.43%，准备内地升学的17.86%。详见下图。</w:t>
      </w:r>
    </w:p>
    <w:p>
      <w:pPr>
        <w:pStyle w:val="16"/>
        <w:ind w:left="0" w:leftChars="0" w:firstLine="0" w:firstLineChars="0"/>
        <w:jc w:val="center"/>
        <w:rPr>
          <w:rFonts w:hint="eastAsia" w:ascii="宋体" w:hAnsi="宋体" w:eastAsia="宋体" w:cs="宋体"/>
          <w:kern w:val="2"/>
          <w:sz w:val="21"/>
          <w:szCs w:val="21"/>
          <w:lang w:val="en-US" w:eastAsia="zh-CN" w:bidi="ar-SA"/>
        </w:rPr>
      </w:pPr>
      <w:r>
        <w:rPr>
          <w:rFonts w:hint="eastAsia" w:eastAsia="宋体"/>
          <w:lang w:eastAsia="zh-CN"/>
        </w:rPr>
        <w:drawing>
          <wp:inline distT="0" distB="0" distL="114300" distR="114300">
            <wp:extent cx="5455920" cy="3791585"/>
            <wp:effectExtent l="0" t="0" r="1905" b="8890"/>
            <wp:docPr id="47" name="图表 47" descr="您目前的打算是"/>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目前的打算是</w:t>
      </w:r>
    </w:p>
    <w:p>
      <w:pPr>
        <w:pStyle w:val="3"/>
        <w:numPr>
          <w:ilvl w:val="0"/>
          <w:numId w:val="6"/>
        </w:numPr>
        <w:bidi w:val="0"/>
        <w:rPr>
          <w:rFonts w:hint="eastAsia"/>
          <w:lang w:val="en-US" w:eastAsia="zh-CN"/>
        </w:rPr>
      </w:pPr>
      <w:bookmarkStart w:id="246" w:name="_Toc12711"/>
      <w:bookmarkStart w:id="247" w:name="_Toc4373"/>
      <w:bookmarkStart w:id="248" w:name="_Toc3451"/>
      <w:r>
        <w:rPr>
          <w:rFonts w:hint="eastAsia"/>
          <w:lang w:val="en-US" w:eastAsia="zh-CN"/>
        </w:rPr>
        <w:t>毕业生满意度分析</w:t>
      </w:r>
      <w:bookmarkEnd w:id="246"/>
      <w:bookmarkEnd w:id="247"/>
      <w:bookmarkEnd w:id="248"/>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49" w:name="_Toc23329"/>
      <w:bookmarkStart w:id="250" w:name="_Toc19627"/>
      <w:r>
        <w:rPr>
          <w:rFonts w:hint="eastAsia" w:asciiTheme="minorEastAsia" w:hAnsiTheme="minorEastAsia" w:eastAsiaTheme="minorEastAsia" w:cstheme="minorEastAsia"/>
          <w:b w:val="0"/>
          <w:bCs w:val="0"/>
          <w:lang w:val="en-US" w:eastAsia="zh-CN"/>
        </w:rPr>
        <w:t>对所学专业匹配社会需求的满意度</w:t>
      </w:r>
      <w:bookmarkEnd w:id="249"/>
      <w:bookmarkEnd w:id="250"/>
    </w:p>
    <w:p>
      <w:pPr>
        <w:bidi w:val="0"/>
        <w:jc w:val="left"/>
        <w:rPr>
          <w:rFonts w:hint="eastAsia"/>
          <w:lang w:val="en-US" w:eastAsia="zh-CN"/>
        </w:rPr>
      </w:pPr>
      <w:r>
        <w:rPr>
          <w:rFonts w:hint="eastAsia"/>
          <w:lang w:val="en-US" w:eastAsia="zh-CN"/>
        </w:rPr>
        <w:t>调查数据显示，对所学专业匹配社会需求的满意度为95.11%，其中非常满意20.29%，满意34.47%，中等40.34%。详见下图。</w:t>
      </w:r>
      <w:r>
        <w:rPr>
          <w:rFonts w:hint="eastAsia"/>
          <w:lang w:val="en-US" w:eastAsia="zh-CN"/>
        </w:rPr>
        <w:drawing>
          <wp:inline distT="0" distB="0" distL="114300" distR="114300">
            <wp:extent cx="5445760" cy="2673350"/>
            <wp:effectExtent l="0" t="0" r="2540" b="3175"/>
            <wp:docPr id="77" name="图表 77"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bidi w:val="0"/>
        <w:jc w:val="left"/>
        <w:rPr>
          <w:rFonts w:hint="eastAsia"/>
          <w:lang w:val="en-US" w:eastAsia="zh-CN"/>
        </w:rPr>
      </w:pPr>
    </w:p>
    <w:p>
      <w:pPr>
        <w:pStyle w:val="16"/>
        <w:numPr>
          <w:ilvl w:val="0"/>
          <w:numId w:val="0"/>
        </w:numPr>
        <w:jc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对所学专业匹配社会需求的满意度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 2022届毕业生对所学专业匹配社会需求的满意度学院分布情况表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21.17%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36.49%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36.94%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39.43%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0.57%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21.25%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42.50%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22.30%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35.97%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1.44%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16.87%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27.71%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48.80%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 2022届毕业生对所学专业匹配社会需求的满意度专业分布情况表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46.43%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10.96%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18.03%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52.94%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52.00%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1" w:name="_Toc18321"/>
      <w:bookmarkStart w:id="252" w:name="_Toc31119"/>
      <w:r>
        <w:rPr>
          <w:rFonts w:hint="eastAsia" w:asciiTheme="minorEastAsia" w:hAnsiTheme="minorEastAsia" w:eastAsiaTheme="minorEastAsia" w:cstheme="minorEastAsia"/>
          <w:b w:val="0"/>
          <w:bCs w:val="0"/>
          <w:lang w:val="en-US" w:eastAsia="zh-CN"/>
        </w:rPr>
        <w:t>在校期间对自身能力和素质提高的满意度</w:t>
      </w:r>
      <w:bookmarkEnd w:id="251"/>
      <w:bookmarkEnd w:id="252"/>
    </w:p>
    <w:p>
      <w:pPr>
        <w:bidi w:val="0"/>
        <w:jc w:val="left"/>
        <w:rPr>
          <w:rFonts w:hint="eastAsia"/>
          <w:lang w:val="en-US" w:eastAsia="zh-CN"/>
        </w:rPr>
      </w:pPr>
      <w:r>
        <w:rPr>
          <w:rFonts w:hint="eastAsia"/>
          <w:lang w:val="en-US" w:eastAsia="zh-CN"/>
        </w:rPr>
        <w:t>调查数据显示，对在校期间对自身能力和素质提高的满意度为97.56%，其中非常满意25.31%，满意39.24%，中等33.01%。详见下图。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48" name="图表 48"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在校期间对自身能力和素质提高的满意度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表：2022届毕业生对在校期间对自身能力和素质提高的满意度学院分布情况表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0.72%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表：2022届毕业生对在校期间对自身能力和素质提高的满意度专业分布情况表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38.83%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0.69%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3" w:name="_Toc6101"/>
      <w:bookmarkStart w:id="254" w:name="_Toc16574"/>
      <w:r>
        <w:rPr>
          <w:rFonts w:hint="eastAsia" w:asciiTheme="minorEastAsia" w:hAnsiTheme="minorEastAsia" w:eastAsiaTheme="minorEastAsia" w:cstheme="minorEastAsia"/>
          <w:b w:val="0"/>
          <w:bCs w:val="0"/>
          <w:lang w:val="en-US" w:eastAsia="zh-CN"/>
        </w:rPr>
        <w:t>对学校职业生涯规划与就业、创业指导课教学效果的满意度</w:t>
      </w:r>
      <w:bookmarkEnd w:id="253"/>
      <w:bookmarkEnd w:id="254"/>
    </w:p>
    <w:p>
      <w:pPr>
        <w:bidi w:val="0"/>
        <w:jc w:val="left"/>
        <w:rPr>
          <w:rFonts w:hint="eastAsia"/>
          <w:lang w:val="en-US" w:eastAsia="zh-CN"/>
        </w:rPr>
      </w:pPr>
      <w:r>
        <w:rPr>
          <w:rFonts w:hint="eastAsia"/>
          <w:lang w:val="en-US" w:eastAsia="zh-CN"/>
        </w:rPr>
        <w:t>调查数据显示，对学校职业生涯规划与就业、创业指导课教学效果的满意度为96.45%，其中非常满意24.45%，满意38.26%，中等33.74%。详见下图。</w:t>
      </w:r>
    </w:p>
    <w:p>
      <w:pPr>
        <w:bidi w:val="0"/>
        <w:ind w:left="0" w:leftChars="0" w:firstLine="0" w:firstLineChars="0"/>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2" name="图表 52"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hint="eastAsia" w:ascii="宋体" w:hAnsi="宋体" w:eastAsia="宋体" w:cs="宋体"/>
          <w:kern w:val="2"/>
          <w:sz w:val="21"/>
          <w:szCs w:val="21"/>
          <w:lang w:val="en-US" w:eastAsia="zh-CN" w:bidi="ar-SA"/>
        </w:rPr>
        <w:t>图：对学校职业生涯规划与就业、创业指导课教学效果的满意度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表：2022届毕业生对学校职业生涯规划与就业、创业指导课教学效果的满意度学院分布情况表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42.17%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2022届毕业生对学校职业生涯规划与就业、创业指导课教学效果的满意度专业分布情况表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36.99%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33.01%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ind w:left="0" w:leftChars="0" w:firstLine="0" w:firstLineChars="0"/>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5" w:name="_Toc24900"/>
      <w:bookmarkStart w:id="256" w:name="_Toc32078"/>
      <w:r>
        <w:rPr>
          <w:rFonts w:hint="eastAsia" w:asciiTheme="minorEastAsia" w:hAnsiTheme="minorEastAsia" w:eastAsiaTheme="minorEastAsia" w:cstheme="minorEastAsia"/>
          <w:b w:val="0"/>
          <w:bCs w:val="0"/>
          <w:lang w:val="en-US" w:eastAsia="zh-CN"/>
        </w:rPr>
        <w:t>对学校、学院获得就业信息质量的满意度</w:t>
      </w:r>
      <w:bookmarkEnd w:id="255"/>
      <w:bookmarkEnd w:id="256"/>
    </w:p>
    <w:p>
      <w:pPr>
        <w:bidi w:val="0"/>
        <w:jc w:val="left"/>
        <w:rPr>
          <w:rFonts w:hint="eastAsia"/>
          <w:lang w:val="en-US" w:eastAsia="zh-CN"/>
        </w:rPr>
      </w:pPr>
      <w:r>
        <w:rPr>
          <w:rFonts w:hint="eastAsia"/>
          <w:lang w:val="en-US" w:eastAsia="zh-CN"/>
        </w:rPr>
        <w:t>调查数据显示，对学校、学院获得就业信息质量的满意度为94.87%，其中非常满意24.21%，满意36.31%，中等34.35%。详见下图。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4" name="图表 54"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对学校、学院获得就业信息质量的满意度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2022届毕业生对学校、学院获得就业信息质量的满意度学院分布情况表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27.03%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23.74%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2.16%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2022届毕业生对学校、学院获得就业信息质量的满意度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36.99%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7" w:name="_Toc9570"/>
      <w:bookmarkStart w:id="258" w:name="_Toc24135"/>
      <w:r>
        <w:rPr>
          <w:rFonts w:hint="eastAsia" w:asciiTheme="minorEastAsia" w:hAnsiTheme="minorEastAsia" w:eastAsiaTheme="minorEastAsia" w:cstheme="minorEastAsia"/>
          <w:b w:val="0"/>
          <w:bCs w:val="0"/>
          <w:lang w:val="en-US" w:eastAsia="zh-CN"/>
        </w:rPr>
        <w:t>对校园招聘会、宣讲会等的满意度</w:t>
      </w:r>
      <w:bookmarkEnd w:id="257"/>
      <w:bookmarkEnd w:id="258"/>
    </w:p>
    <w:p>
      <w:pPr>
        <w:bidi w:val="0"/>
        <w:jc w:val="left"/>
        <w:rPr>
          <w:rFonts w:hint="eastAsia"/>
          <w:lang w:val="en-US" w:eastAsia="zh-CN"/>
        </w:rPr>
      </w:pPr>
      <w:r>
        <w:rPr>
          <w:rFonts w:hint="eastAsia"/>
          <w:lang w:val="en-US" w:eastAsia="zh-CN"/>
        </w:rPr>
        <w:t>调查数据显示，对校园招聘会、宣讲会等的满意度为91.08%，其中非常满意23.23%，满意32.64%，中等35.21%。详见下图。</w:t>
      </w:r>
    </w:p>
    <w:p>
      <w:pPr>
        <w:pStyle w:val="16"/>
        <w:rPr>
          <w:rFonts w:hint="eastAsia"/>
          <w:lang w:val="en-US" w:eastAsia="zh-CN"/>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5" name="图表 55"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对校园招聘会、宣讲会等的满意度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表：2022届毕业生对校园招聘会、宣讲会等的满意度学院分布情况表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30.12%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表：2022届毕业生对校园招聘会、宣讲会等的满意度专业分布情况表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9.52%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51.85%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29.51%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6.25%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59" w:name="_Toc4149"/>
      <w:bookmarkStart w:id="260" w:name="_Toc2699"/>
      <w:r>
        <w:rPr>
          <w:rFonts w:hint="eastAsia" w:asciiTheme="minorEastAsia" w:hAnsiTheme="minorEastAsia" w:eastAsiaTheme="minorEastAsia" w:cstheme="minorEastAsia"/>
          <w:b w:val="0"/>
          <w:bCs w:val="0"/>
          <w:lang w:val="en-US" w:eastAsia="zh-CN"/>
        </w:rPr>
        <w:t>对学校提供的创新创业指导与服务工作的满意度</w:t>
      </w:r>
      <w:bookmarkEnd w:id="259"/>
      <w:bookmarkEnd w:id="260"/>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学校提供的创新创业指导与服务工作的满意度</w:t>
      </w:r>
      <w:r>
        <w:rPr>
          <w:rFonts w:hint="eastAsia"/>
          <w:lang w:val="en-US" w:eastAsia="zh-CN"/>
        </w:rPr>
        <w:t>为94.74%，其中非常满意23.47%，满意36.55%，中等34.72%。详见下图。</w:t>
      </w:r>
    </w:p>
    <w:p>
      <w:pPr>
        <w:pStyle w:val="16"/>
        <w:numPr>
          <w:ilvl w:val="0"/>
          <w:numId w:val="0"/>
        </w:numPr>
        <w:jc w:val="center"/>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56" name="图表 56"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对学校提供的创新创业指导与服务工作的满意度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2022届毕业生对学校提供的创新创业指导与服务工作的满意度学院分布情况表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37.39%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表：2022届毕业生对学校提供的创新创业指导与服务工作的满意度专业分布情况表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51.85%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39.34%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1" w:name="_Toc8418"/>
      <w:bookmarkStart w:id="262" w:name="_Toc7842"/>
      <w:r>
        <w:rPr>
          <w:rFonts w:hint="eastAsia" w:asciiTheme="minorEastAsia" w:hAnsiTheme="minorEastAsia" w:eastAsiaTheme="minorEastAsia" w:cstheme="minorEastAsia"/>
          <w:b w:val="0"/>
          <w:bCs w:val="0"/>
          <w:lang w:val="en-US" w:eastAsia="zh-CN"/>
        </w:rPr>
        <w:t>对学校提供的就业指导与服务的满意度</w:t>
      </w:r>
      <w:bookmarkEnd w:id="261"/>
      <w:bookmarkEnd w:id="262"/>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学校提供的就业指导与服务的满意度</w:t>
      </w:r>
      <w:r>
        <w:rPr>
          <w:rFonts w:hint="eastAsia"/>
          <w:lang w:val="en-US" w:eastAsia="zh-CN"/>
        </w:rPr>
        <w:t>为95.48%，其中非常满意23.96%，满意35.82%，中等35.70%。详见下图。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6" name="图表 66"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对学校提供的就业指导与服务的满意度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2022届毕业生对学校提供的就业指导与服务的满意度学院分布情况表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2022届毕业生对学校提供的就业指导与服务的满意度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49.32%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21.31%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39.34%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4.86%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3" w:name="_Toc22362"/>
      <w:bookmarkStart w:id="264" w:name="_Toc17507"/>
      <w:r>
        <w:rPr>
          <w:rFonts w:hint="eastAsia" w:asciiTheme="minorEastAsia" w:hAnsiTheme="minorEastAsia" w:eastAsiaTheme="minorEastAsia" w:cstheme="minorEastAsia"/>
          <w:b w:val="0"/>
          <w:bCs w:val="0"/>
          <w:lang w:val="en-US" w:eastAsia="zh-CN"/>
        </w:rPr>
        <w:t>对学校针对就业困难学生帮扶的满意度</w:t>
      </w:r>
      <w:bookmarkEnd w:id="263"/>
      <w:bookmarkEnd w:id="264"/>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学校针对就业困难学生帮扶的满意度</w:t>
      </w:r>
      <w:r>
        <w:rPr>
          <w:rFonts w:hint="eastAsia"/>
          <w:lang w:val="en-US" w:eastAsia="zh-CN"/>
        </w:rPr>
        <w:t>为95.23%，其中非常满意24.82%，满意38.63%，中等31.78%。详见下图。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7" name="图表 67"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对学校针对就业困难学生帮扶的满意度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2022届毕业生对学校针对就业困难学生帮扶的满意度学院分布情况表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30.63%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1.71%</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23.74%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表：2022届毕业生对学校针对就业困难学生帮扶的满意度专业分布情况表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4.76%</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50.68%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40.98%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32.79%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2.53%</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23.61%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5" w:name="_Toc26367"/>
      <w:bookmarkStart w:id="266" w:name="_Toc9899"/>
      <w:r>
        <w:rPr>
          <w:rFonts w:hint="eastAsia" w:asciiTheme="minorEastAsia" w:hAnsiTheme="minorEastAsia" w:eastAsiaTheme="minorEastAsia" w:cstheme="minorEastAsia"/>
          <w:b w:val="0"/>
          <w:bCs w:val="0"/>
          <w:lang w:val="en-US" w:eastAsia="zh-CN"/>
        </w:rPr>
        <w:t>疫情期间对学校提供的线上就业服务的满意度</w:t>
      </w:r>
      <w:bookmarkEnd w:id="265"/>
      <w:bookmarkEnd w:id="266"/>
    </w:p>
    <w:p>
      <w:pPr>
        <w:bidi w:val="0"/>
        <w:jc w:val="left"/>
        <w:rPr>
          <w:rFonts w:hint="eastAsia"/>
          <w:lang w:val="en-US" w:eastAsia="zh-CN"/>
        </w:rPr>
      </w:pPr>
      <w:r>
        <w:rPr>
          <w:rFonts w:hint="eastAsia"/>
          <w:lang w:val="en-US" w:eastAsia="zh-CN"/>
        </w:rPr>
        <w:t>调查数据显示，</w:t>
      </w:r>
      <w:r>
        <w:rPr>
          <w:rFonts w:hint="eastAsia" w:asciiTheme="minorEastAsia" w:hAnsiTheme="minorEastAsia" w:eastAsiaTheme="minorEastAsia" w:cstheme="minorEastAsia"/>
          <w:b w:val="0"/>
          <w:bCs w:val="0"/>
          <w:lang w:val="en-US" w:eastAsia="zh-CN"/>
        </w:rPr>
        <w:t>疫情期间对学校提供的线上就业服务的满意度</w:t>
      </w:r>
      <w:r>
        <w:rPr>
          <w:rFonts w:hint="eastAsia"/>
          <w:lang w:val="en-US" w:eastAsia="zh-CN"/>
        </w:rPr>
        <w:t>为94.62%，其中非常满意23.84%，满意35.33%，中等35.45%。详见下图。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8" name="图表 68"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疫情期间对学校提供的线上就业服务的满意度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表：2022届毕业生疫情期间对学校提供的线上就业服务的满意度学院分布情况表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1.71%</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31.65%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6.47%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4.32%</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表：2022届毕业生疫情期间对学校提供的线上就业服务的满意度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7.14%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40.74%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43.84%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46.15%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26.21%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33.01%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6.25%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4.76%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7" w:name="_Toc7167"/>
      <w:bookmarkStart w:id="268" w:name="_Toc21951"/>
      <w:r>
        <w:rPr>
          <w:rFonts w:hint="eastAsia" w:asciiTheme="minorEastAsia" w:hAnsiTheme="minorEastAsia" w:eastAsiaTheme="minorEastAsia" w:cstheme="minorEastAsia"/>
          <w:b w:val="0"/>
          <w:bCs w:val="0"/>
          <w:lang w:val="en-US" w:eastAsia="zh-CN"/>
        </w:rPr>
        <w:t>对实习实训、见习等实践学习环节的满意度</w:t>
      </w:r>
      <w:bookmarkEnd w:id="267"/>
      <w:bookmarkEnd w:id="268"/>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实习实训、见习等实践学习环节的满意度</w:t>
      </w:r>
      <w:r>
        <w:rPr>
          <w:rFonts w:hint="eastAsia"/>
          <w:lang w:val="en-US" w:eastAsia="zh-CN"/>
        </w:rPr>
        <w:t>为96.82%，其中非常满意24.21%，满意37.65%，中等34.96%。详见下图。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69" name="图表 69"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对实习实训、见习等实践学习环节的满意度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表：2022届毕业生对实习实训、见习等实践学习环节的满意度学院分布情况表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29.28%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29.71%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3.60%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表：2022届毕业生对实习实训、见习等实践学习环节的满意度专业分布情况表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50.68%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37.70%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42.22%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28.16%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39.24%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11.90%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69" w:name="_Toc3893"/>
      <w:bookmarkStart w:id="270" w:name="_Toc8154"/>
      <w:r>
        <w:rPr>
          <w:rFonts w:hint="eastAsia" w:asciiTheme="minorEastAsia" w:hAnsiTheme="minorEastAsia" w:eastAsiaTheme="minorEastAsia" w:cstheme="minorEastAsia"/>
          <w:b w:val="0"/>
          <w:bCs w:val="0"/>
          <w:lang w:val="en-US" w:eastAsia="zh-CN"/>
        </w:rPr>
        <w:t>对学校校风、学风、教风的满意度</w:t>
      </w:r>
      <w:bookmarkEnd w:id="269"/>
      <w:bookmarkEnd w:id="270"/>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学校校风、学风、教风的满意度</w:t>
      </w:r>
      <w:r>
        <w:rPr>
          <w:rFonts w:hint="eastAsia"/>
          <w:lang w:val="en-US" w:eastAsia="zh-CN"/>
        </w:rPr>
        <w:t>为95.84%，其中非常满意26.77%，满意39.85%，中等29.22%。详见下图。</w:t>
      </w:r>
    </w:p>
    <w:p>
      <w:pPr>
        <w:pStyle w:val="16"/>
        <w:rPr>
          <w:rFonts w:hint="eastAsia"/>
          <w:lang w:val="en-US" w:eastAsia="zh-CN"/>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70" name="图表 70"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对学校校风、学风、教风的满意度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2022届毕业生对学校校风、学风、教风的满意度学院分布情况表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31.53%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43.43%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26.25%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25.90%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21.08%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34.34%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4.82%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1.20%</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表：2022届毕业生对学校校风、学风、教风的满意度专业分布情况表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17.86%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41.07%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22.73%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19.23%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19.18%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50.68%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30.14%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24.59%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39.34%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31.15%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35.56%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69.23%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9.09%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47.06%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32.04%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7.59%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26.39%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39.58%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28.47%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45.24%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38.10%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numPr>
          <w:ilvl w:val="0"/>
          <w:numId w:val="0"/>
        </w:numPr>
        <w:jc w:val="center"/>
        <w:rPr>
          <w:rFonts w:hint="eastAsia" w:ascii="宋体" w:hAnsi="宋体" w:eastAsia="宋体" w:cs="宋体"/>
          <w:kern w:val="2"/>
          <w:sz w:val="21"/>
          <w:szCs w:val="21"/>
          <w:lang w:val="en-US" w:eastAsia="zh-CN" w:bidi="ar-SA"/>
        </w:rPr>
      </w:pPr>
    </w:p>
    <w:p>
      <w:pPr>
        <w:pStyle w:val="4"/>
        <w:numPr>
          <w:ilvl w:val="0"/>
          <w:numId w:val="13"/>
        </w:numPr>
        <w:bidi w:val="0"/>
        <w:ind w:left="845" w:leftChars="0" w:hanging="425" w:firstLineChars="0"/>
        <w:rPr>
          <w:rFonts w:hint="eastAsia" w:asciiTheme="minorEastAsia" w:hAnsiTheme="minorEastAsia" w:eastAsiaTheme="minorEastAsia" w:cstheme="minorEastAsia"/>
          <w:b w:val="0"/>
          <w:bCs w:val="0"/>
          <w:lang w:val="en-US" w:eastAsia="zh-CN"/>
        </w:rPr>
      </w:pPr>
      <w:bookmarkStart w:id="271" w:name="_Toc30051"/>
      <w:bookmarkStart w:id="272" w:name="_Toc32687"/>
      <w:r>
        <w:rPr>
          <w:rFonts w:hint="eastAsia" w:asciiTheme="minorEastAsia" w:hAnsiTheme="minorEastAsia" w:eastAsiaTheme="minorEastAsia" w:cstheme="minorEastAsia"/>
          <w:b w:val="0"/>
          <w:bCs w:val="0"/>
          <w:lang w:val="en-US" w:eastAsia="zh-CN"/>
        </w:rPr>
        <w:t>对母校总体满意度</w:t>
      </w:r>
      <w:bookmarkEnd w:id="271"/>
      <w:bookmarkEnd w:id="272"/>
    </w:p>
    <w:p>
      <w:pPr>
        <w:bidi w:val="0"/>
        <w:jc w:val="left"/>
        <w:rPr>
          <w:rFonts w:hint="eastAsia"/>
          <w:lang w:val="en-US" w:eastAsia="zh-CN"/>
        </w:rPr>
      </w:pPr>
      <w:r>
        <w:rPr>
          <w:rFonts w:hint="eastAsia"/>
          <w:lang w:val="en-US" w:eastAsia="zh-CN"/>
        </w:rPr>
        <w:t>调查数据显示，对</w:t>
      </w:r>
      <w:r>
        <w:rPr>
          <w:rFonts w:hint="eastAsia" w:asciiTheme="minorEastAsia" w:hAnsiTheme="minorEastAsia" w:eastAsiaTheme="minorEastAsia" w:cstheme="minorEastAsia"/>
          <w:b w:val="0"/>
          <w:bCs w:val="0"/>
          <w:lang w:val="en-US" w:eastAsia="zh-CN"/>
        </w:rPr>
        <w:t>母校总体满意度</w:t>
      </w:r>
      <w:r>
        <w:rPr>
          <w:rFonts w:hint="eastAsia"/>
          <w:lang w:val="en-US" w:eastAsia="zh-CN"/>
        </w:rPr>
        <w:t>为97.07%，其中非常满意33.25%，满意38.75%，中等25.06%。详见下图。</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lang w:val="en-US" w:eastAsia="zh-CN"/>
        </w:rPr>
        <w:drawing>
          <wp:inline distT="0" distB="0" distL="114300" distR="114300">
            <wp:extent cx="5445760" cy="2673350"/>
            <wp:effectExtent l="0" t="0" r="2540" b="3175"/>
            <wp:docPr id="71" name="图表 71" descr="您对所学专业匹配社会需求的满意度如何？"/>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hint="eastAsia" w:ascii="宋体" w:hAnsi="宋体" w:cs="宋体"/>
          <w:kern w:val="2"/>
          <w:sz w:val="21"/>
          <w:szCs w:val="21"/>
          <w:lang w:val="en-US" w:eastAsia="zh-CN" w:bidi="ar-SA"/>
        </w:rPr>
        <w:t>图：</w:t>
      </w:r>
      <w:r>
        <w:rPr>
          <w:rFonts w:hint="eastAsia" w:ascii="宋体" w:hAnsi="宋体" w:eastAsia="宋体" w:cs="宋体"/>
          <w:kern w:val="2"/>
          <w:sz w:val="21"/>
          <w:szCs w:val="21"/>
          <w:lang w:val="en-US" w:eastAsia="zh-CN" w:bidi="ar-SA"/>
        </w:rPr>
        <w:t>对母校总体满意度</w:t>
      </w: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表：2022届毕业生对母校总体满意度学院分布情况表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学院名称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19社招班</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0.45%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44.57%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0.57%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43.75%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新闻传媒学院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32.37%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41.73%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23.74%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0.72%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1.44%</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综合艺术学院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27.71%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34.94%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33.13%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1.81%</w:t>
            </w:r>
          </w:p>
        </w:tc>
      </w:tr>
    </w:tbl>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p>
      <w:pPr>
        <w:pStyle w:val="46"/>
        <w:keepNext w:val="0"/>
        <w:keepLines w:val="0"/>
        <w:pageBreakBefore w:val="0"/>
        <w:widowControl w:val="0"/>
        <w:kinsoku/>
        <w:wordWrap/>
        <w:overflowPunct/>
        <w:topLinePunct w:val="0"/>
        <w:autoSpaceDE/>
        <w:autoSpaceDN/>
        <w:bidi w:val="0"/>
        <w:adjustRightInd/>
        <w:snapToGrid/>
        <w:spacing w:before="120" w:beforeLines="50"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表</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2022届毕业生对母校总体满意度</w:t>
      </w:r>
      <w:r>
        <w:rPr>
          <w:rFonts w:hint="eastAsia" w:ascii="宋体" w:hAnsi="宋体" w:cs="宋体"/>
          <w:kern w:val="2"/>
          <w:sz w:val="21"/>
          <w:szCs w:val="21"/>
          <w:lang w:val="en-US" w:eastAsia="zh-CN" w:bidi="ar-SA"/>
        </w:rPr>
        <w:t>专业</w:t>
      </w:r>
      <w:r>
        <w:rPr>
          <w:rFonts w:hint="eastAsia" w:ascii="宋体" w:hAnsi="宋体" w:eastAsia="宋体" w:cs="宋体"/>
          <w:kern w:val="2"/>
          <w:sz w:val="21"/>
          <w:szCs w:val="21"/>
          <w:lang w:val="en-US" w:eastAsia="zh-CN" w:bidi="ar-SA"/>
        </w:rPr>
        <w:t>分布情况表</w:t>
      </w:r>
    </w:p>
    <w:tbl>
      <w:tblPr>
        <w:tblStyle w:val="17"/>
        <w:tblW w:w="4999" w:type="pct"/>
        <w:jc w:val="center"/>
        <w:tblLayout w:type="autofit"/>
        <w:tblCellMar>
          <w:top w:w="15" w:type="dxa"/>
          <w:left w:w="15" w:type="dxa"/>
          <w:bottom w:w="15" w:type="dxa"/>
          <w:right w:w="15" w:type="dxa"/>
        </w:tblCellMar>
      </w:tblPr>
      <w:tblGrid>
        <w:gridCol w:w="2613"/>
        <w:gridCol w:w="1203"/>
        <w:gridCol w:w="1203"/>
        <w:gridCol w:w="1203"/>
        <w:gridCol w:w="1203"/>
        <w:gridCol w:w="1203"/>
      </w:tblGrid>
      <w:tr>
        <w:tblPrEx>
          <w:tblCellMar>
            <w:top w:w="15" w:type="dxa"/>
            <w:left w:w="15" w:type="dxa"/>
            <w:bottom w:w="15" w:type="dxa"/>
            <w:right w:w="15" w:type="dxa"/>
          </w:tblCellMar>
        </w:tblPrEx>
        <w:trPr>
          <w:trHeight w:val="567" w:hRule="atLeast"/>
          <w:jc w:val="center"/>
        </w:trPr>
        <w:tc>
          <w:tcPr>
            <w:tcW w:w="1514"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专业名称</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中等</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eastAsia"/>
                <w:b/>
                <w:bCs/>
                <w:color w:val="FFFFFF"/>
                <w:lang w:val="en-US" w:eastAsia="zh-CN"/>
              </w:rPr>
            </w:pPr>
            <w:r>
              <w:rPr>
                <w:rFonts w:hint="eastAsia"/>
                <w:b/>
                <w:bCs/>
                <w:color w:val="FFFFFF"/>
                <w:lang w:val="en-US" w:eastAsia="zh-CN"/>
              </w:rPr>
              <w:t>不满意</w:t>
            </w:r>
          </w:p>
        </w:tc>
        <w:tc>
          <w:tcPr>
            <w:tcW w:w="697" w:type="pct"/>
            <w:tcBorders>
              <w:top w:val="single" w:color="000000" w:sz="4" w:space="0"/>
              <w:left w:val="single" w:color="000000" w:sz="4" w:space="0"/>
              <w:bottom w:val="single" w:color="000000" w:sz="4" w:space="0"/>
              <w:right w:val="single" w:color="000000" w:sz="4" w:space="0"/>
            </w:tcBorders>
            <w:shd w:val="clear" w:color="auto" w:fill="548DD4"/>
            <w:noWrap w:val="0"/>
            <w:vAlign w:val="center"/>
          </w:tcPr>
          <w:p>
            <w:pPr>
              <w:pStyle w:val="38"/>
              <w:bidi w:val="0"/>
              <w:rPr>
                <w:rFonts w:hint="default"/>
                <w:b/>
                <w:bCs/>
                <w:color w:val="FFFFFF"/>
                <w:lang w:val="en-US" w:eastAsia="zh-CN"/>
              </w:rPr>
            </w:pPr>
            <w:r>
              <w:rPr>
                <w:rFonts w:hint="eastAsia"/>
                <w:b/>
                <w:bCs/>
                <w:color w:val="FFFFFF"/>
                <w:lang w:val="en-US" w:eastAsia="zh-CN"/>
              </w:rPr>
              <w:t>非常不满意</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表演艺术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39.29%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1.79%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播音与主持</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36.36%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13.64%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雕刻艺术设计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动漫设计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服装与服饰设计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42.86%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9.52%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高速铁路客运乘务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25.93%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37.04%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1.85%</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国际标准舞</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21.92%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53.42%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24.66%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环境艺术设计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27.87%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42.62%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24.59%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空中乘务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28.89%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4.44%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美术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53.85%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30.77%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15.38%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人物形象设计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38.46%</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61.54%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摄影摄像技术</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45.45%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54.55%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数字媒体艺术设计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52.94%</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23.53%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舞蹈表演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35.92%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38.83%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23.30%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0.97%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戏剧影视表演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76.00%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12.00%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戏曲表演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25.00%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50.00%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37.97%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29.11%</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27.85%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3.80%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1.27%</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艺术设计(公共)</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艺术设计(平面)</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100.00%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0.00%</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音乐表演</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33.33%</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41.67%</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22.92%</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0.69%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1.39%</w:t>
            </w:r>
          </w:p>
        </w:tc>
      </w:tr>
      <w:tr>
        <w:tblPrEx>
          <w:tblCellMar>
            <w:top w:w="15" w:type="dxa"/>
            <w:left w:w="15" w:type="dxa"/>
            <w:bottom w:w="15" w:type="dxa"/>
            <w:right w:w="15" w:type="dxa"/>
          </w:tblCellMar>
        </w:tblPrEx>
        <w:trPr>
          <w:trHeight w:val="454" w:hRule="atLeast"/>
          <w:jc w:val="center"/>
        </w:trPr>
        <w:tc>
          <w:tcPr>
            <w:tcW w:w="1514" w:type="pct"/>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default"/>
                <w:lang w:val="en-US" w:eastAsia="zh-CN"/>
              </w:rPr>
              <w:t>影视编导</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26.19%</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40.48%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30.95%</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lang w:val="en-US" w:eastAsia="zh-CN"/>
              </w:rPr>
            </w:pPr>
            <w:r>
              <w:rPr>
                <w:rFonts w:hint="eastAsia"/>
                <w:lang w:val="en-US" w:eastAsia="zh-CN"/>
              </w:rPr>
              <w:t>2.38%</w:t>
            </w:r>
          </w:p>
        </w:tc>
        <w:tc>
          <w:tcPr>
            <w:tcW w:w="1203" w:type="dxa"/>
            <w:tcBorders>
              <w:top w:val="single" w:color="000000" w:sz="4" w:space="0"/>
              <w:left w:val="single" w:color="000000" w:sz="4" w:space="0"/>
              <w:bottom w:val="single" w:color="000000" w:sz="4" w:space="0"/>
              <w:right w:val="single" w:color="000000" w:sz="4" w:space="0"/>
            </w:tcBorders>
            <w:noWrap w:val="0"/>
            <w:vAlign w:val="center"/>
          </w:tcPr>
          <w:p>
            <w:pPr>
              <w:pStyle w:val="38"/>
              <w:bidi w:val="0"/>
              <w:ind w:firstLine="0" w:firstLineChars="0"/>
              <w:rPr>
                <w:rFonts w:hint="eastAsia" w:ascii="微软雅黑 Light" w:hAnsi="微软雅黑 Light" w:eastAsia="微软雅黑 Light" w:cs="微软雅黑 Light"/>
                <w:kern w:val="0"/>
                <w:szCs w:val="21"/>
                <w:lang w:bidi="ar"/>
              </w:rPr>
            </w:pPr>
            <w:r>
              <w:rPr>
                <w:rFonts w:hint="eastAsia"/>
                <w:lang w:val="en-US" w:eastAsia="zh-CN"/>
              </w:rPr>
              <w:t>0.00%</w:t>
            </w:r>
          </w:p>
        </w:tc>
      </w:tr>
    </w:tbl>
    <w:p>
      <w:pPr>
        <w:pStyle w:val="16"/>
        <w:rPr>
          <w:sz w:val="24"/>
        </w:rPr>
      </w:pPr>
    </w:p>
    <w:p>
      <w:pPr>
        <w:pStyle w:val="2"/>
        <w:bidi w:val="0"/>
        <w:rPr>
          <w:rFonts w:hint="eastAsia"/>
          <w:highlight w:val="none"/>
          <w:lang w:val="en-US" w:eastAsia="zh-CN"/>
        </w:rPr>
      </w:pPr>
      <w:bookmarkStart w:id="273" w:name="_Toc20097"/>
      <w:bookmarkStart w:id="274" w:name="_Toc3642"/>
      <w:r>
        <w:rPr>
          <w:rFonts w:hint="eastAsia"/>
          <w:highlight w:val="none"/>
          <w:lang w:val="en-US" w:eastAsia="zh-CN"/>
        </w:rPr>
        <w:t>第六部分 市场需求状况分析报告</w:t>
      </w:r>
      <w:bookmarkEnd w:id="273"/>
      <w:bookmarkEnd w:id="274"/>
    </w:p>
    <w:p>
      <w:pPr>
        <w:bidi w:val="0"/>
        <w:rPr>
          <w:rFonts w:hint="eastAsia"/>
          <w:highlight w:val="none"/>
          <w:lang w:val="en-US" w:eastAsia="zh-CN"/>
        </w:rPr>
      </w:pPr>
      <w:r>
        <w:rPr>
          <w:rFonts w:hint="eastAsia"/>
          <w:highlight w:val="none"/>
          <w:lang w:val="en-US" w:eastAsia="zh-CN"/>
        </w:rPr>
        <w:t>为了更好地收集用人单位对学校的教育教学、人才培养质量和就业管理服务等方面的意见和建议，不断提升人才培养质量，学校委托第三方公司利用“安徽省校招服务平台”开展了用人单位问卷调查工作。本次调查共回收有效问卷92份，对问卷调查中的部分问题进行统计分析如下。</w:t>
      </w:r>
    </w:p>
    <w:p>
      <w:pPr>
        <w:pStyle w:val="3"/>
        <w:numPr>
          <w:ilvl w:val="0"/>
          <w:numId w:val="14"/>
        </w:numPr>
        <w:bidi w:val="0"/>
        <w:rPr>
          <w:rFonts w:hint="eastAsia" w:ascii="宋体" w:hAnsi="宋体" w:cs="宋体"/>
          <w:b/>
          <w:bCs/>
          <w:kern w:val="2"/>
          <w:sz w:val="21"/>
          <w:szCs w:val="22"/>
          <w:highlight w:val="none"/>
          <w:lang w:val="en-US" w:eastAsia="zh-CN" w:bidi="ar-SA"/>
        </w:rPr>
      </w:pPr>
      <w:bookmarkStart w:id="275" w:name="_Toc4360_WPSOffice_Level2"/>
      <w:bookmarkStart w:id="276" w:name="_Toc11253"/>
      <w:bookmarkStart w:id="277" w:name="_Toc22380"/>
      <w:bookmarkStart w:id="278" w:name="_Toc20513_WPSOffice_Level2"/>
      <w:bookmarkStart w:id="279" w:name="_Toc7749"/>
      <w:r>
        <w:rPr>
          <w:rFonts w:hint="eastAsia"/>
          <w:highlight w:val="none"/>
          <w:lang w:val="en-US" w:eastAsia="zh-CN"/>
        </w:rPr>
        <w:t>用人单位情况招聘过程分析</w:t>
      </w:r>
      <w:bookmarkEnd w:id="275"/>
      <w:bookmarkEnd w:id="276"/>
      <w:bookmarkEnd w:id="277"/>
      <w:bookmarkEnd w:id="278"/>
      <w:bookmarkEnd w:id="279"/>
    </w:p>
    <w:p>
      <w:pPr>
        <w:numPr>
          <w:ilvl w:val="0"/>
          <w:numId w:val="15"/>
        </w:numPr>
        <w:bidi w:val="0"/>
        <w:ind w:left="845" w:leftChars="0" w:hanging="425" w:firstLineChars="0"/>
        <w:rPr>
          <w:rFonts w:hint="eastAsia" w:ascii="Times New Roman" w:hAnsi="Times New Roman" w:cs="Times New Roman"/>
          <w:highlight w:val="none"/>
          <w:lang w:val="en-US" w:eastAsia="zh-CN"/>
        </w:rPr>
      </w:pPr>
      <w:r>
        <w:rPr>
          <w:rFonts w:hint="eastAsia"/>
          <w:highlight w:val="none"/>
          <w:lang w:val="en-US" w:eastAsia="zh-CN"/>
        </w:rPr>
        <w:t>单位招聘毕业生侧重的渠道</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highlight w:val="none"/>
          <w:lang w:val="en-US" w:eastAsia="zh-CN"/>
        </w:rPr>
      </w:pPr>
      <w:r>
        <w:rPr>
          <w:rFonts w:hint="eastAsia" w:ascii="Times New Roman" w:hAnsi="Times New Roman" w:cs="Times New Roman"/>
          <w:highlight w:val="none"/>
          <w:lang w:val="en-US" w:eastAsia="zh-CN"/>
        </w:rPr>
        <w:t>调查数据显示，在单位招聘毕业生的渠道中，</w:t>
      </w:r>
      <w:r>
        <w:rPr>
          <w:rFonts w:hint="eastAsia"/>
          <w:highlight w:val="none"/>
          <w:lang w:val="en-US" w:eastAsia="zh-CN"/>
        </w:rPr>
        <w:t>85.87%</w:t>
      </w:r>
      <w:r>
        <w:rPr>
          <w:rFonts w:hint="eastAsia" w:ascii="Times New Roman" w:hAnsi="Times New Roman" w:cs="Times New Roman"/>
          <w:highlight w:val="none"/>
          <w:lang w:val="en-US" w:eastAsia="zh-CN"/>
        </w:rPr>
        <w:t>的单位认为</w:t>
      </w:r>
      <w:r>
        <w:rPr>
          <w:rFonts w:hint="eastAsia"/>
          <w:highlight w:val="none"/>
          <w:lang w:val="en-US" w:eastAsia="zh-CN"/>
        </w:rPr>
        <w:t>校园专场</w:t>
      </w:r>
      <w:r>
        <w:rPr>
          <w:rFonts w:hint="eastAsia" w:ascii="Times New Roman" w:hAnsi="Times New Roman" w:cs="Times New Roman"/>
          <w:highlight w:val="none"/>
          <w:lang w:val="en-US" w:eastAsia="zh-CN"/>
        </w:rPr>
        <w:t>是最侧重的，其次是</w:t>
      </w:r>
      <w:r>
        <w:rPr>
          <w:rFonts w:hint="eastAsia"/>
          <w:highlight w:val="none"/>
          <w:lang w:val="en-US" w:eastAsia="zh-CN"/>
        </w:rPr>
        <w:t>参加高校组织的就业市场</w:t>
      </w:r>
      <w:r>
        <w:rPr>
          <w:rFonts w:hint="eastAsia" w:ascii="Times New Roman" w:hAnsi="Times New Roman" w:cs="Times New Roman"/>
          <w:highlight w:val="none"/>
          <w:lang w:val="en-US" w:eastAsia="zh-CN"/>
        </w:rPr>
        <w:t>的占比</w:t>
      </w:r>
      <w:r>
        <w:rPr>
          <w:rFonts w:hint="eastAsia"/>
          <w:highlight w:val="none"/>
          <w:lang w:val="en-US" w:eastAsia="zh-CN"/>
        </w:rPr>
        <w:t>58.70%</w:t>
      </w:r>
      <w:r>
        <w:rPr>
          <w:rFonts w:hint="eastAsia" w:ascii="Times New Roman" w:hAnsi="Times New Roman" w:cs="Times New Roman"/>
          <w:highlight w:val="none"/>
          <w:lang w:val="en-US" w:eastAsia="zh-CN"/>
        </w:rPr>
        <w:t>，然后是</w:t>
      </w:r>
      <w:r>
        <w:rPr>
          <w:rFonts w:hint="eastAsia"/>
          <w:highlight w:val="none"/>
          <w:lang w:val="en-US" w:eastAsia="zh-CN"/>
        </w:rPr>
        <w:t>通过学校发布招聘信息</w:t>
      </w:r>
      <w:r>
        <w:rPr>
          <w:rFonts w:hint="eastAsia" w:ascii="Times New Roman" w:hAnsi="Times New Roman" w:cs="Times New Roman"/>
          <w:highlight w:val="none"/>
          <w:lang w:val="en-US" w:eastAsia="zh-CN"/>
        </w:rPr>
        <w:t>的占比</w:t>
      </w:r>
      <w:r>
        <w:rPr>
          <w:rFonts w:hint="eastAsia"/>
          <w:highlight w:val="none"/>
          <w:lang w:val="en-US" w:eastAsia="zh-CN"/>
        </w:rPr>
        <w:t>56.52%</w:t>
      </w:r>
      <w:r>
        <w:rPr>
          <w:rFonts w:hint="eastAsia" w:ascii="Times New Roman" w:hAnsi="Times New Roman" w:cs="Times New Roman"/>
          <w:highlight w:val="none"/>
          <w:lang w:val="en-US" w:eastAsia="zh-CN"/>
        </w:rPr>
        <w:t>，接着是</w:t>
      </w:r>
      <w:r>
        <w:rPr>
          <w:rFonts w:hint="eastAsia"/>
          <w:highlight w:val="none"/>
          <w:lang w:val="en-US" w:eastAsia="zh-CN"/>
        </w:rPr>
        <w:t>网络进行招聘活动</w:t>
      </w:r>
      <w:r>
        <w:rPr>
          <w:rFonts w:hint="eastAsia" w:ascii="Times New Roman" w:hAnsi="Times New Roman" w:cs="Times New Roman"/>
          <w:highlight w:val="none"/>
          <w:lang w:val="en-US" w:eastAsia="zh-CN"/>
        </w:rPr>
        <w:t>占比</w:t>
      </w:r>
      <w:r>
        <w:rPr>
          <w:rFonts w:hint="eastAsia"/>
          <w:highlight w:val="none"/>
          <w:lang w:val="en-US" w:eastAsia="zh-CN"/>
        </w:rPr>
        <w:t>51.09%</w:t>
      </w:r>
      <w:r>
        <w:rPr>
          <w:rFonts w:hint="eastAsia" w:ascii="Times New Roman" w:hAnsi="Times New Roman" w:cs="Times New Roman"/>
          <w:highlight w:val="none"/>
          <w:lang w:val="en-US" w:eastAsia="zh-CN"/>
        </w:rPr>
        <w:t>。详见下图。</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highlight w:val="none"/>
          <w:lang w:val="en-US" w:eastAsia="zh-CN"/>
        </w:rPr>
      </w:pPr>
      <w:r>
        <w:rPr>
          <w:rFonts w:hint="eastAsia" w:eastAsia="宋体"/>
          <w:highlight w:val="none"/>
          <w:lang w:eastAsia="zh-CN"/>
        </w:rPr>
        <w:drawing>
          <wp:inline distT="0" distB="0" distL="114300" distR="114300">
            <wp:extent cx="5455920" cy="3639185"/>
            <wp:effectExtent l="0" t="0" r="1905" b="8890"/>
            <wp:docPr id="75" name="图表 75"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用人单位招聘毕业生侧重的渠道</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近三年贵单位来校招聘的频率</w:t>
      </w:r>
    </w:p>
    <w:p>
      <w:pPr>
        <w:pStyle w:val="16"/>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宋体" w:hAnsi="宋体" w:cs="宋体"/>
          <w:b/>
          <w:bCs/>
          <w:kern w:val="2"/>
          <w:sz w:val="21"/>
          <w:szCs w:val="22"/>
          <w:highlight w:val="none"/>
          <w:lang w:val="en-US" w:eastAsia="zh-CN" w:bidi="ar-SA"/>
        </w:rPr>
      </w:pPr>
      <w:r>
        <w:rPr>
          <w:rFonts w:hint="eastAsia" w:ascii="Times New Roman" w:hAnsi="Times New Roman" w:cs="Times New Roman"/>
          <w:highlight w:val="none"/>
          <w:lang w:val="en-US" w:eastAsia="zh-CN"/>
        </w:rPr>
        <w:t>调查显示，</w:t>
      </w:r>
      <w:r>
        <w:rPr>
          <w:rFonts w:hint="eastAsia"/>
          <w:highlight w:val="none"/>
          <w:lang w:val="en-US" w:eastAsia="zh-CN"/>
        </w:rPr>
        <w:t>几乎每年都来</w:t>
      </w:r>
      <w:r>
        <w:rPr>
          <w:rFonts w:hint="eastAsia" w:ascii="Times New Roman" w:hAnsi="Times New Roman" w:cs="Times New Roman"/>
          <w:highlight w:val="none"/>
          <w:lang w:val="en-US" w:eastAsia="zh-CN"/>
        </w:rPr>
        <w:t>占比</w:t>
      </w:r>
      <w:r>
        <w:rPr>
          <w:rFonts w:hint="eastAsia"/>
          <w:highlight w:val="none"/>
          <w:lang w:val="en-US" w:eastAsia="zh-CN"/>
        </w:rPr>
        <w:t>58.70%</w:t>
      </w:r>
      <w:r>
        <w:rPr>
          <w:rFonts w:hint="eastAsia" w:ascii="Times New Roman" w:hAnsi="Times New Roman" w:cs="Times New Roman"/>
          <w:highlight w:val="none"/>
          <w:lang w:val="en-US" w:eastAsia="zh-CN"/>
        </w:rPr>
        <w:t>，</w:t>
      </w:r>
      <w:r>
        <w:rPr>
          <w:rFonts w:hint="eastAsia"/>
          <w:highlight w:val="none"/>
          <w:lang w:val="en-US" w:eastAsia="zh-CN"/>
        </w:rPr>
        <w:t>第一次来占比19.57%</w:t>
      </w:r>
      <w:r>
        <w:rPr>
          <w:rFonts w:hint="eastAsia" w:ascii="Times New Roman" w:hAnsi="Times New Roman" w:cs="Times New Roman"/>
          <w:highlight w:val="none"/>
          <w:lang w:val="en-US" w:eastAsia="zh-CN"/>
        </w:rPr>
        <w:t>，</w:t>
      </w:r>
      <w:r>
        <w:rPr>
          <w:rFonts w:hint="eastAsia"/>
          <w:highlight w:val="none"/>
          <w:lang w:val="en-US" w:eastAsia="zh-CN"/>
        </w:rPr>
        <w:t>根据有针对性的招聘需求才来</w:t>
      </w:r>
      <w:r>
        <w:rPr>
          <w:rFonts w:hint="eastAsia" w:ascii="Times New Roman" w:hAnsi="Times New Roman" w:cs="Times New Roman"/>
          <w:highlight w:val="none"/>
          <w:lang w:val="en-US" w:eastAsia="zh-CN"/>
        </w:rPr>
        <w:t>占比</w:t>
      </w:r>
      <w:r>
        <w:rPr>
          <w:rFonts w:hint="eastAsia"/>
          <w:highlight w:val="none"/>
          <w:lang w:val="en-US" w:eastAsia="zh-CN"/>
        </w:rPr>
        <w:t>13.04%</w:t>
      </w:r>
      <w:r>
        <w:rPr>
          <w:rFonts w:hint="eastAsia" w:ascii="Times New Roman" w:hAnsi="Times New Roman" w:cs="Times New Roman"/>
          <w:highlight w:val="none"/>
          <w:lang w:val="en-US" w:eastAsia="zh-CN"/>
        </w:rPr>
        <w:t>，详见下图。</w:t>
      </w:r>
      <w:r>
        <w:rPr>
          <w:rFonts w:hint="eastAsia" w:eastAsia="宋体"/>
          <w:highlight w:val="none"/>
          <w:lang w:eastAsia="zh-CN"/>
        </w:rPr>
        <w:drawing>
          <wp:inline distT="0" distB="0" distL="114300" distR="114300">
            <wp:extent cx="5455920" cy="2183130"/>
            <wp:effectExtent l="0" t="0" r="1905" b="7620"/>
            <wp:docPr id="76" name="图表 76"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单位来校招聘的频率</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 xml:space="preserve">单位可提供的试用期工资待遇(元/月) </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highlight w:val="none"/>
          <w:lang w:val="en-US" w:eastAsia="zh-CN"/>
        </w:rPr>
      </w:pPr>
      <w:r>
        <w:rPr>
          <w:rFonts w:hint="eastAsia"/>
          <w:highlight w:val="none"/>
          <w:lang w:val="en-US" w:eastAsia="zh-CN"/>
        </w:rPr>
        <w:t>调查显示，试用期的薪资区间主要集中在6000～8000元、8000以上元和4000～6000元之间。</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539365"/>
            <wp:effectExtent l="0" t="0" r="1905" b="3810"/>
            <wp:docPr id="78" name="图表 78"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单位可提供的试用期工资待遇</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 xml:space="preserve"> 单位提供的工资待遇在当地属于何等水平</w:t>
      </w:r>
    </w:p>
    <w:p>
      <w:pPr>
        <w:bidi w:val="0"/>
        <w:rPr>
          <w:rFonts w:hint="default"/>
          <w:highlight w:val="none"/>
          <w:lang w:val="en-US" w:eastAsia="zh-CN"/>
        </w:rPr>
      </w:pPr>
      <w:r>
        <w:rPr>
          <w:rFonts w:hint="eastAsia"/>
          <w:highlight w:val="none"/>
          <w:lang w:val="en-US" w:eastAsia="zh-CN"/>
        </w:rPr>
        <w:t>调查显示，单位提供的工资待遇在当地属于中等偏上水平的占比78.26%，其次高档水平的占比13.04%，然后中等水平的占比8.70%。</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335530"/>
            <wp:effectExtent l="0" t="0" r="1905" b="7620"/>
            <wp:docPr id="79" name="图表 79"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单位可提供的正式聘用后的工资待遇</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单位未来几年对大学毕业生的需求趋势</w:t>
      </w:r>
    </w:p>
    <w:p>
      <w:pPr>
        <w:bidi w:val="0"/>
        <w:rPr>
          <w:rFonts w:hint="eastAsia"/>
          <w:highlight w:val="none"/>
          <w:lang w:val="en-US" w:eastAsia="zh-CN"/>
        </w:rPr>
      </w:pPr>
      <w:r>
        <w:rPr>
          <w:rFonts w:hint="eastAsia"/>
          <w:highlight w:val="none"/>
          <w:lang w:val="en-US" w:eastAsia="zh-CN"/>
        </w:rPr>
        <w:t>调查显示，有75.00%的单位对毕业生的需求增加，23.91%的单位对毕业生的需求基本持平，其他1.09%的单位未来几年对大学毕业生的需求减少。</w:t>
      </w:r>
      <w:r>
        <w:rPr>
          <w:rFonts w:hint="eastAsia" w:ascii="Times New Roman" w:hAnsi="Times New Roman" w:cs="Times New Roman"/>
          <w:highlight w:val="none"/>
          <w:lang w:val="en-US" w:eastAsia="zh-CN"/>
        </w:rPr>
        <w:t>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3820160"/>
            <wp:effectExtent l="0" t="0" r="1905" b="8890"/>
            <wp:docPr id="80" name="图表 80"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单位未来几年对大学毕业生的需求趋势</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单位招聘毕业生是否注重专业对口</w:t>
      </w:r>
    </w:p>
    <w:p>
      <w:pPr>
        <w:bidi w:val="0"/>
        <w:rPr>
          <w:rFonts w:hint="eastAsia"/>
          <w:highlight w:val="none"/>
          <w:lang w:val="en-US" w:eastAsia="zh-CN"/>
        </w:rPr>
      </w:pPr>
      <w:r>
        <w:rPr>
          <w:rFonts w:hint="eastAsia"/>
          <w:highlight w:val="none"/>
          <w:lang w:val="en-US" w:eastAsia="zh-CN"/>
        </w:rPr>
        <w:t>调查显示，29.35%的单位是很注重毕业生是否与专业对口，56.52%的单位是比较注重毕业生是否与专业对口。</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2137410"/>
            <wp:effectExtent l="0" t="0" r="1905" b="5715"/>
            <wp:docPr id="81" name="图表 81"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单位招聘毕业生是否注重专业对口</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单位最看重的工作能力</w:t>
      </w:r>
    </w:p>
    <w:p>
      <w:pPr>
        <w:bidi w:val="0"/>
        <w:jc w:val="left"/>
        <w:rPr>
          <w:rFonts w:hint="default"/>
          <w:highlight w:val="none"/>
          <w:lang w:val="en-US" w:eastAsia="zh-CN"/>
        </w:rPr>
      </w:pPr>
      <w:r>
        <w:rPr>
          <w:rFonts w:hint="eastAsia"/>
          <w:highlight w:val="none"/>
          <w:lang w:val="en-US" w:eastAsia="zh-CN"/>
        </w:rPr>
        <w:t>调查显示，在毕业生的独立工作、分析解决问题的能力是单位最看重的，占比68.48%，其次是组织管理、人际交往能力占比20.65%。</w:t>
      </w:r>
      <w:r>
        <w:rPr>
          <w:rFonts w:hint="eastAsia" w:ascii="Times New Roman" w:hAnsi="Times New Roman" w:cs="Times New Roman"/>
          <w:highlight w:val="none"/>
          <w:lang w:val="en-US" w:eastAsia="zh-CN"/>
        </w:rPr>
        <w:t>详见下图。</w:t>
      </w:r>
    </w:p>
    <w:p>
      <w:pPr>
        <w:bidi w:val="0"/>
        <w:ind w:left="0" w:leftChars="0" w:firstLine="0" w:firstLineChars="0"/>
        <w:rPr>
          <w:rFonts w:hint="eastAsia"/>
          <w:highlight w:val="none"/>
          <w:lang w:val="en-US" w:eastAsia="zh-CN"/>
        </w:rPr>
      </w:pPr>
      <w:r>
        <w:rPr>
          <w:rFonts w:hint="eastAsia"/>
          <w:highlight w:val="none"/>
          <w:lang w:eastAsia="zh-CN"/>
        </w:rPr>
        <w:drawing>
          <wp:inline distT="0" distB="0" distL="114300" distR="114300">
            <wp:extent cx="5455920" cy="2089785"/>
            <wp:effectExtent l="0" t="0" r="1905" b="5715"/>
            <wp:docPr id="82" name="图表 82"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单位最看中的工作能力</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单位最关注毕业生的学习成绩</w:t>
      </w:r>
    </w:p>
    <w:p>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eastAsia="宋体"/>
          <w:highlight w:val="none"/>
          <w:lang w:eastAsia="zh-CN"/>
        </w:rPr>
      </w:pPr>
      <w:r>
        <w:rPr>
          <w:rFonts w:hint="eastAsia"/>
          <w:highlight w:val="none"/>
          <w:lang w:val="en-US" w:eastAsia="zh-CN"/>
        </w:rPr>
        <w:t>调查显示，专业课成绩和实践、实习成绩是用人单位最关注的学习成绩，分别占比58.70%和26.09%，英语成绩、计算机成绩排在最后占比0.00%。</w:t>
      </w:r>
      <w:r>
        <w:rPr>
          <w:rFonts w:hint="eastAsia" w:ascii="Times New Roman" w:hAnsi="Times New Roman" w:cs="Times New Roman"/>
          <w:highlight w:val="none"/>
          <w:lang w:val="en-US" w:eastAsia="zh-CN"/>
        </w:rPr>
        <w:t>详见下图。</w:t>
      </w:r>
      <w:r>
        <w:rPr>
          <w:rFonts w:hint="eastAsia"/>
          <w:highlight w:val="none"/>
          <w:lang w:eastAsia="zh-CN"/>
        </w:rPr>
        <w:drawing>
          <wp:inline distT="0" distB="0" distL="114300" distR="114300">
            <wp:extent cx="5455920" cy="2500630"/>
            <wp:effectExtent l="0" t="0" r="1905" b="4445"/>
            <wp:docPr id="83" name="图表 83"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单位最关注毕业生的哪类学习成绩</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单位在招聘时，注重学生哪些方面素养</w:t>
      </w:r>
    </w:p>
    <w:p>
      <w:pPr>
        <w:bidi w:val="0"/>
        <w:rPr>
          <w:rFonts w:hint="default"/>
          <w:highlight w:val="none"/>
          <w:lang w:val="en-US" w:eastAsia="zh-CN"/>
        </w:rPr>
      </w:pPr>
      <w:r>
        <w:rPr>
          <w:rFonts w:hint="eastAsia"/>
          <w:highlight w:val="none"/>
          <w:lang w:val="en-US" w:eastAsia="zh-CN"/>
        </w:rPr>
        <w:t>调查显示，用人单位注重的是毕业的毕业生综合素质（协作精神、人际沟通能力、创新能力、解决问题的能力等）和社会实践经历或工作经验，对于刚毕业的毕业生工作经验不是用人单位最注重的。</w:t>
      </w:r>
      <w:r>
        <w:rPr>
          <w:rFonts w:hint="eastAsia" w:ascii="Times New Roman" w:hAnsi="Times New Roman" w:cs="Times New Roman"/>
          <w:highlight w:val="none"/>
          <w:lang w:val="en-US" w:eastAsia="zh-CN"/>
        </w:rPr>
        <w:t>详见下图。</w:t>
      </w:r>
    </w:p>
    <w:p>
      <w:pPr>
        <w:bidi w:val="0"/>
        <w:ind w:left="0" w:leftChars="0" w:firstLine="0" w:firstLineChars="0"/>
        <w:rPr>
          <w:rFonts w:hint="eastAsia"/>
          <w:highlight w:val="none"/>
          <w:lang w:val="en-US" w:eastAsia="zh-CN"/>
        </w:rPr>
      </w:pPr>
      <w:r>
        <w:rPr>
          <w:rFonts w:hint="eastAsia"/>
          <w:highlight w:val="none"/>
          <w:lang w:eastAsia="zh-CN"/>
        </w:rPr>
        <w:drawing>
          <wp:inline distT="0" distB="0" distL="114300" distR="114300">
            <wp:extent cx="5455920" cy="4486275"/>
            <wp:effectExtent l="0" t="0" r="1905" b="0"/>
            <wp:docPr id="84" name="图表 84"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单位在招聘时，注重学生哪些方面素养</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单位在面试时，主要考核学生的哪些方面</w:t>
      </w:r>
    </w:p>
    <w:p>
      <w:pPr>
        <w:bidi w:val="0"/>
        <w:rPr>
          <w:rFonts w:hint="eastAsia"/>
          <w:highlight w:val="none"/>
          <w:lang w:val="en-US" w:eastAsia="zh-CN"/>
        </w:rPr>
      </w:pPr>
      <w:r>
        <w:rPr>
          <w:rFonts w:hint="eastAsia"/>
          <w:highlight w:val="none"/>
          <w:lang w:val="en-US" w:eastAsia="zh-CN"/>
        </w:rPr>
        <w:t>调查显示，在面试环节中，用人单位首先考核的是毕业生的协作精神、人际沟通能力，看其是否能满足岗位需求，其次是毕业生的专业素养，文字表达能力排在最后，这与面试的环节有关。</w:t>
      </w:r>
      <w:r>
        <w:rPr>
          <w:rFonts w:hint="eastAsia" w:ascii="Times New Roman" w:hAnsi="Times New Roman" w:cs="Times New Roman"/>
          <w:highlight w:val="none"/>
          <w:lang w:val="en-US" w:eastAsia="zh-CN"/>
        </w:rPr>
        <w:t>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4975860"/>
            <wp:effectExtent l="0" t="0" r="1905" b="5715"/>
            <wp:docPr id="85" name="图表 85"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单位在面试时，主要考核学生的哪些方面</w:t>
      </w:r>
    </w:p>
    <w:p>
      <w:pPr>
        <w:numPr>
          <w:ilvl w:val="0"/>
          <w:numId w:val="15"/>
        </w:numPr>
        <w:bidi w:val="0"/>
        <w:ind w:left="845" w:leftChars="0" w:hanging="425" w:firstLineChars="0"/>
        <w:rPr>
          <w:rFonts w:hint="eastAsia"/>
          <w:highlight w:val="none"/>
          <w:lang w:val="en-US" w:eastAsia="zh-CN"/>
        </w:rPr>
      </w:pPr>
      <w:r>
        <w:rPr>
          <w:rFonts w:hint="eastAsia"/>
          <w:highlight w:val="none"/>
          <w:lang w:val="en-US" w:eastAsia="zh-CN"/>
        </w:rPr>
        <w:t>面试中毕业生整体表现</w:t>
      </w:r>
    </w:p>
    <w:p>
      <w:pPr>
        <w:bidi w:val="0"/>
        <w:rPr>
          <w:rFonts w:hint="eastAsia"/>
          <w:highlight w:val="none"/>
          <w:lang w:val="en-US" w:eastAsia="zh-CN"/>
        </w:rPr>
      </w:pPr>
      <w:r>
        <w:rPr>
          <w:rFonts w:hint="eastAsia"/>
          <w:highlight w:val="none"/>
          <w:lang w:val="en-US" w:eastAsia="zh-CN"/>
        </w:rPr>
        <w:t>调查显示，毕业生整体表现优秀。</w:t>
      </w:r>
      <w:r>
        <w:rPr>
          <w:rFonts w:hint="eastAsia" w:ascii="Times New Roman" w:hAnsi="Times New Roman" w:cs="Times New Roman"/>
          <w:highlight w:val="none"/>
          <w:lang w:val="en-US" w:eastAsia="zh-CN"/>
        </w:rPr>
        <w:t>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1986915"/>
            <wp:effectExtent l="0" t="0" r="1905" b="3810"/>
            <wp:docPr id="86" name="图表 86"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面试中毕业生整体表现</w:t>
      </w:r>
    </w:p>
    <w:p>
      <w:pPr>
        <w:pStyle w:val="3"/>
        <w:numPr>
          <w:ilvl w:val="0"/>
          <w:numId w:val="14"/>
        </w:numPr>
        <w:bidi w:val="0"/>
        <w:rPr>
          <w:rFonts w:hint="eastAsia"/>
          <w:highlight w:val="none"/>
          <w:lang w:val="en-US" w:eastAsia="zh-CN"/>
        </w:rPr>
      </w:pPr>
      <w:bookmarkStart w:id="280" w:name="_Toc4598"/>
      <w:bookmarkStart w:id="281" w:name="_Toc19752_WPSOffice_Level2"/>
      <w:bookmarkStart w:id="282" w:name="_Toc13763_WPSOffice_Level2"/>
      <w:bookmarkStart w:id="283" w:name="_Toc5830"/>
      <w:bookmarkStart w:id="284" w:name="_Toc22764"/>
      <w:r>
        <w:rPr>
          <w:rFonts w:hint="eastAsia"/>
          <w:highlight w:val="none"/>
          <w:lang w:val="en-US" w:eastAsia="zh-CN"/>
        </w:rPr>
        <w:t>用人单位对教育教学的反馈</w:t>
      </w:r>
      <w:bookmarkEnd w:id="280"/>
      <w:bookmarkEnd w:id="281"/>
      <w:bookmarkEnd w:id="282"/>
      <w:bookmarkEnd w:id="283"/>
      <w:bookmarkEnd w:id="284"/>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毕业生在单位表现好的三项</w:t>
      </w:r>
    </w:p>
    <w:p>
      <w:pPr>
        <w:bidi w:val="0"/>
        <w:rPr>
          <w:rFonts w:hint="eastAsia" w:ascii="宋体" w:hAnsi="宋体" w:eastAsia="宋体" w:cs="宋体"/>
          <w:sz w:val="28"/>
          <w:szCs w:val="28"/>
          <w:highlight w:val="none"/>
          <w:lang w:val="en-US" w:eastAsia="zh-CN"/>
        </w:rPr>
      </w:pPr>
      <w:r>
        <w:rPr>
          <w:rFonts w:hint="eastAsia"/>
          <w:highlight w:val="none"/>
          <w:lang w:val="en-US" w:eastAsia="zh-CN"/>
        </w:rPr>
        <w:t>调查显示，创新能力是单位招聘时最注重的，也是我校毕业生表现最好的，其次是知识结构，另外一项是团队合作，这和用人单位的需求完美契合。</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6513830"/>
            <wp:effectExtent l="0" t="0" r="1905" b="1270"/>
            <wp:docPr id="124" name="图表 124"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毕业生在单位表现好的三项</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毕业生在单位的整体表现</w:t>
      </w:r>
    </w:p>
    <w:p>
      <w:pPr>
        <w:bidi w:val="0"/>
        <w:rPr>
          <w:rFonts w:hint="eastAsia"/>
          <w:highlight w:val="none"/>
          <w:lang w:val="en-US" w:eastAsia="zh-CN"/>
        </w:rPr>
      </w:pPr>
      <w:r>
        <w:rPr>
          <w:rFonts w:hint="eastAsia"/>
          <w:highlight w:val="none"/>
          <w:lang w:val="en-US" w:eastAsia="zh-CN"/>
        </w:rPr>
        <w:t>调查显示，毕业在工作期间整体表现优秀，98.91%</w:t>
      </w:r>
      <w:r>
        <w:rPr>
          <w:rFonts w:hint="eastAsia"/>
          <w:highlight w:val="yellow"/>
          <w:lang w:val="en-US" w:eastAsia="zh-CN"/>
        </w:rPr>
        <w:t>的调研单位认为我校毕业生整体表现好。</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1948815"/>
            <wp:effectExtent l="0" t="0" r="1905" b="3810"/>
            <wp:docPr id="87" name="图表 87"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毕业生在单位的整体表现</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单位招录毕业生的首要理由</w:t>
      </w:r>
    </w:p>
    <w:p>
      <w:pPr>
        <w:bidi w:val="0"/>
        <w:rPr>
          <w:rFonts w:hint="default"/>
          <w:highlight w:val="none"/>
          <w:lang w:val="en-US" w:eastAsia="zh-CN"/>
        </w:rPr>
      </w:pPr>
      <w:r>
        <w:rPr>
          <w:rFonts w:hint="eastAsia"/>
          <w:highlight w:val="none"/>
          <w:lang w:val="en-US" w:eastAsia="zh-CN"/>
        </w:rPr>
        <w:t>调查显示，在录用我校毕业生首要理由中，综合素质较高排名第一，占比34.78%，另外28.26%的单位认为专业基础知识扎实。</w:t>
      </w:r>
      <w:r>
        <w:rPr>
          <w:rFonts w:hint="eastAsia" w:ascii="Times New Roman" w:hAnsi="Times New Roman" w:cs="Times New Roman"/>
          <w:highlight w:val="none"/>
          <w:lang w:val="en-US" w:eastAsia="zh-CN"/>
        </w:rPr>
        <w:t>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3034665"/>
            <wp:effectExtent l="0" t="0" r="1905" b="3810"/>
            <wp:docPr id="125" name="图表 125"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单位招录毕业生的首要理由</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毕业生在专业及综合知识储备情况</w:t>
      </w:r>
    </w:p>
    <w:p>
      <w:pPr>
        <w:bidi w:val="0"/>
        <w:jc w:val="left"/>
        <w:rPr>
          <w:rFonts w:hint="eastAsia"/>
          <w:highlight w:val="none"/>
          <w:lang w:val="en-US" w:eastAsia="zh-CN"/>
        </w:rPr>
      </w:pPr>
      <w:r>
        <w:rPr>
          <w:rFonts w:hint="eastAsia"/>
          <w:highlight w:val="none"/>
          <w:lang w:val="en-US" w:eastAsia="zh-CN"/>
        </w:rPr>
        <w:t>调查显示，30.43%的单位认为我校毕业生在专业及综合知识储备上非常充足，59.78%的单位认为比较充足。详见下图。</w:t>
      </w:r>
      <w:r>
        <w:rPr>
          <w:rFonts w:hint="eastAsia" w:eastAsia="宋体"/>
          <w:highlight w:val="none"/>
          <w:lang w:eastAsia="zh-CN"/>
        </w:rPr>
        <w:drawing>
          <wp:inline distT="0" distB="0" distL="114300" distR="114300">
            <wp:extent cx="5455920" cy="2282190"/>
            <wp:effectExtent l="0" t="0" r="1905" b="3810"/>
            <wp:docPr id="126" name="图表 126"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毕业生在单位从上岗到胜任工作的适应情况</w:t>
      </w:r>
    </w:p>
    <w:p>
      <w:pPr>
        <w:bidi w:val="0"/>
        <w:rPr>
          <w:rFonts w:hint="default"/>
          <w:highlight w:val="none"/>
          <w:lang w:val="en-US" w:eastAsia="zh-CN"/>
        </w:rPr>
      </w:pPr>
      <w:r>
        <w:rPr>
          <w:rFonts w:hint="eastAsia"/>
          <w:highlight w:val="none"/>
          <w:lang w:val="en-US" w:eastAsia="zh-CN"/>
        </w:rPr>
        <w:t>调查显示，66.30%的毕业生在单位工作考核中，能够快速的适应工作岗位，另外更有26.09%的毕业生能够很快的适应工作岗位。详见下图。</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highlight w:val="none"/>
          <w:lang w:eastAsia="zh-CN"/>
        </w:rPr>
        <w:drawing>
          <wp:inline distT="0" distB="0" distL="114300" distR="114300">
            <wp:extent cx="5455920" cy="2314575"/>
            <wp:effectExtent l="0" t="0" r="1905" b="0"/>
            <wp:docPr id="88" name="图表 88"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毕业生在单位从上岗到胜任工作的适应情况</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毕业生在人格素质各方面的表现</w:t>
      </w:r>
    </w:p>
    <w:p>
      <w:pPr>
        <w:bidi w:val="0"/>
        <w:rPr>
          <w:rFonts w:hint="eastAsia"/>
          <w:highlight w:val="none"/>
          <w:lang w:val="en-US" w:eastAsia="zh-CN"/>
        </w:rPr>
      </w:pPr>
      <w:r>
        <w:rPr>
          <w:rFonts w:hint="eastAsia"/>
          <w:highlight w:val="none"/>
          <w:lang w:val="en-US" w:eastAsia="zh-CN"/>
        </w:rPr>
        <w:t>调查显示，毕业生在人格素质各方面的表现情况如下表。</w:t>
      </w:r>
    </w:p>
    <w:p>
      <w:pPr>
        <w:bidi w:val="0"/>
        <w:ind w:left="0" w:leftChars="0" w:firstLine="0" w:firstLineChars="0"/>
        <w:jc w:val="center"/>
        <w:rPr>
          <w:rFonts w:hint="eastAsia"/>
          <w:highlight w:val="none"/>
          <w:lang w:val="en-US" w:eastAsia="zh-CN"/>
        </w:rPr>
      </w:pPr>
      <w:r>
        <w:rPr>
          <w:rFonts w:hint="eastAsia" w:ascii="宋体" w:hAnsi="宋体" w:cs="宋体"/>
          <w:kern w:val="2"/>
          <w:sz w:val="21"/>
          <w:szCs w:val="21"/>
          <w:highlight w:val="none"/>
          <w:lang w:val="en-US" w:eastAsia="zh-CN" w:bidi="ar-SA"/>
        </w:rPr>
        <w:t xml:space="preserve">表 </w:t>
      </w:r>
      <w:r>
        <w:rPr>
          <w:rFonts w:hint="eastAsia" w:ascii="宋体" w:hAnsi="宋体" w:eastAsia="宋体" w:cs="宋体"/>
          <w:kern w:val="2"/>
          <w:sz w:val="21"/>
          <w:szCs w:val="21"/>
          <w:highlight w:val="none"/>
          <w:lang w:val="en-US" w:eastAsia="zh-CN" w:bidi="ar-SA"/>
        </w:rPr>
        <w:t>毕业生在人格素质各方面的表现</w:t>
      </w:r>
    </w:p>
    <w:tbl>
      <w:tblPr>
        <w:tblStyle w:val="17"/>
        <w:tblpPr w:leftFromText="180" w:rightFromText="180" w:vertAnchor="text" w:tblpX="1" w:tblpY="1"/>
        <w:tblOverlap w:val="never"/>
        <w:tblW w:w="4997" w:type="pct"/>
        <w:tblInd w:w="0" w:type="dxa"/>
        <w:tblLayout w:type="autofit"/>
        <w:tblCellMar>
          <w:top w:w="0" w:type="dxa"/>
          <w:left w:w="108" w:type="dxa"/>
          <w:bottom w:w="0" w:type="dxa"/>
          <w:right w:w="108" w:type="dxa"/>
        </w:tblCellMar>
      </w:tblPr>
      <w:tblGrid>
        <w:gridCol w:w="2865"/>
        <w:gridCol w:w="1486"/>
        <w:gridCol w:w="1486"/>
        <w:gridCol w:w="1486"/>
        <w:gridCol w:w="1488"/>
      </w:tblGrid>
      <w:tr>
        <w:tblPrEx>
          <w:tblCellMar>
            <w:top w:w="0" w:type="dxa"/>
            <w:left w:w="108" w:type="dxa"/>
            <w:bottom w:w="0" w:type="dxa"/>
            <w:right w:w="108" w:type="dxa"/>
          </w:tblCellMar>
        </w:tblPrEx>
        <w:trPr>
          <w:trHeight w:val="454" w:hRule="atLeast"/>
        </w:trPr>
        <w:tc>
          <w:tcPr>
            <w:tcW w:w="1625"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center"/>
              <w:textAlignment w:val="center"/>
              <w:rPr>
                <w:rFonts w:hint="eastAsia" w:ascii="宋体" w:hAnsi="宋体" w:eastAsia="宋体" w:cs="宋体"/>
                <w:b/>
                <w:bCs/>
                <w:color w:val="000000"/>
                <w:sz w:val="21"/>
                <w:szCs w:val="21"/>
                <w:highlight w:val="none"/>
                <w:lang w:eastAsia="zh-CN" w:bidi="ar"/>
              </w:rPr>
            </w:pPr>
            <w:r>
              <w:rPr>
                <w:rFonts w:hint="eastAsia" w:ascii="宋体" w:hAnsi="宋体" w:cs="宋体"/>
                <w:b/>
                <w:bCs/>
                <w:color w:val="000000"/>
                <w:sz w:val="21"/>
                <w:szCs w:val="21"/>
                <w:highlight w:val="none"/>
                <w:lang w:val="en-US" w:eastAsia="zh-CN" w:bidi="ar"/>
              </w:rPr>
              <w:t>项目</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val="en-US" w:eastAsia="zh-CN" w:bidi="ar"/>
              </w:rPr>
            </w:pPr>
            <w:r>
              <w:rPr>
                <w:rFonts w:hint="eastAsia" w:ascii="宋体" w:hAnsi="宋体" w:eastAsia="宋体" w:cs="宋体"/>
                <w:b/>
                <w:bCs/>
                <w:color w:val="000000"/>
                <w:sz w:val="21"/>
                <w:szCs w:val="21"/>
                <w:highlight w:val="none"/>
                <w:lang w:val="en-US" w:eastAsia="zh-CN" w:bidi="ar"/>
              </w:rPr>
              <w:t>很好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一般</w:t>
            </w:r>
          </w:p>
        </w:tc>
        <w:tc>
          <w:tcPr>
            <w:tcW w:w="844"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较差</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自我调控能力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43.48%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53.26%</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3.26%</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与他人相处能力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48.91%</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47.83%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3.26%</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适应环境能力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47.83%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47.83%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4.35%</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表达与表现能力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47.83%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44.57%</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7.61%</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沟通与合作能力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45.65%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51.09%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3.26%</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实践与操作实施能力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45.65%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51.09%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3.26%</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学习与创新开拓能力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39.13%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55.43%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5.43%</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组织与影响他人能力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47.83%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43.48%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8.70%</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工作责任心</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54.35%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42.39%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3.26%</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5"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理想信念与道德自律</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52.17%</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43.48%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4.35%</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bl>
    <w:p>
      <w:pPr>
        <w:bidi w:val="0"/>
        <w:rPr>
          <w:rFonts w:hint="eastAsia"/>
          <w:highlight w:val="none"/>
          <w:lang w:val="en-US" w:eastAsia="zh-CN"/>
        </w:rPr>
      </w:pP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目前的专业设置、课程安排与社会需求是否适应</w:t>
      </w:r>
    </w:p>
    <w:p>
      <w:pPr>
        <w:pStyle w:val="16"/>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083435"/>
            <wp:effectExtent l="0" t="0" r="1905" b="2540"/>
            <wp:docPr id="89" name="图表 89"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目前的专业设置、课程安排与社会需求是否适应</w:t>
      </w:r>
    </w:p>
    <w:p>
      <w:pPr>
        <w:bidi w:val="0"/>
        <w:rPr>
          <w:rFonts w:hint="eastAsia"/>
          <w:highlight w:val="none"/>
          <w:lang w:val="en-US" w:eastAsia="zh-CN"/>
        </w:rPr>
      </w:pPr>
      <w:r>
        <w:rPr>
          <w:rFonts w:hint="eastAsia"/>
          <w:highlight w:val="none"/>
          <w:lang w:val="en-US" w:eastAsia="zh-CN"/>
        </w:rPr>
        <w:t>由上图可以看出，70.65%的单位认为我校专业设置、课程安排与社会需求适应是较适应的，有27.17%的单位认为适应性很适应。没有单位认为我校专业设置、课程安排与社会需求是不太适应的。详见上图。详见上图。</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毕业生在智力、知识各方面的表现评价</w:t>
      </w:r>
    </w:p>
    <w:p>
      <w:pPr>
        <w:bidi w:val="0"/>
        <w:rPr>
          <w:rFonts w:hint="eastAsia"/>
          <w:highlight w:val="none"/>
          <w:lang w:val="en-US" w:eastAsia="zh-CN"/>
        </w:rPr>
      </w:pPr>
      <w:r>
        <w:rPr>
          <w:rFonts w:hint="eastAsia"/>
          <w:highlight w:val="none"/>
          <w:lang w:val="en-US" w:eastAsia="zh-CN"/>
        </w:rPr>
        <w:t>调查显示，我校毕业生在智力、知识各方面的表现情况如下表。</w:t>
      </w:r>
    </w:p>
    <w:p>
      <w:pPr>
        <w:bidi w:val="0"/>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 xml:space="preserve">表 </w:t>
      </w:r>
      <w:r>
        <w:rPr>
          <w:rFonts w:hint="eastAsia" w:ascii="宋体" w:hAnsi="宋体" w:eastAsia="宋体" w:cs="宋体"/>
          <w:kern w:val="2"/>
          <w:sz w:val="21"/>
          <w:szCs w:val="21"/>
          <w:highlight w:val="none"/>
          <w:lang w:val="en-US" w:eastAsia="zh-CN" w:bidi="ar-SA"/>
        </w:rPr>
        <w:t>毕业生在智力、知识各方面的表现好的方面</w:t>
      </w:r>
    </w:p>
    <w:tbl>
      <w:tblPr>
        <w:tblStyle w:val="17"/>
        <w:tblpPr w:leftFromText="180" w:rightFromText="180" w:vertAnchor="text" w:tblpX="1" w:tblpY="1"/>
        <w:tblOverlap w:val="never"/>
        <w:tblW w:w="4997" w:type="pct"/>
        <w:tblInd w:w="0" w:type="dxa"/>
        <w:tblLayout w:type="autofit"/>
        <w:tblCellMar>
          <w:top w:w="0" w:type="dxa"/>
          <w:left w:w="108" w:type="dxa"/>
          <w:bottom w:w="0" w:type="dxa"/>
          <w:right w:w="108" w:type="dxa"/>
        </w:tblCellMar>
      </w:tblPr>
      <w:tblGrid>
        <w:gridCol w:w="2863"/>
        <w:gridCol w:w="1486"/>
        <w:gridCol w:w="1486"/>
        <w:gridCol w:w="1487"/>
        <w:gridCol w:w="1489"/>
      </w:tblGrid>
      <w:tr>
        <w:tblPrEx>
          <w:tblCellMar>
            <w:top w:w="0" w:type="dxa"/>
            <w:left w:w="108" w:type="dxa"/>
            <w:bottom w:w="0" w:type="dxa"/>
            <w:right w:w="108" w:type="dxa"/>
          </w:tblCellMar>
        </w:tblPrEx>
        <w:trPr>
          <w:trHeight w:val="454" w:hRule="atLeast"/>
        </w:trPr>
        <w:tc>
          <w:tcPr>
            <w:tcW w:w="1624"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center"/>
              <w:textAlignment w:val="center"/>
              <w:rPr>
                <w:rFonts w:hint="eastAsia" w:ascii="宋体" w:hAnsi="宋体" w:eastAsia="宋体" w:cs="宋体"/>
                <w:b/>
                <w:bCs/>
                <w:color w:val="000000"/>
                <w:sz w:val="21"/>
                <w:szCs w:val="21"/>
                <w:highlight w:val="none"/>
                <w:lang w:eastAsia="zh-CN" w:bidi="ar"/>
              </w:rPr>
            </w:pPr>
            <w:r>
              <w:rPr>
                <w:rFonts w:hint="eastAsia" w:ascii="宋体" w:hAnsi="宋体" w:cs="宋体"/>
                <w:b/>
                <w:bCs/>
                <w:color w:val="000000"/>
                <w:sz w:val="21"/>
                <w:szCs w:val="21"/>
                <w:highlight w:val="none"/>
                <w:lang w:val="en-US" w:eastAsia="zh-CN" w:bidi="ar"/>
              </w:rPr>
              <w:t>项目</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val="en-US" w:eastAsia="zh-CN" w:bidi="ar"/>
              </w:rPr>
            </w:pPr>
            <w:r>
              <w:rPr>
                <w:rFonts w:hint="eastAsia" w:ascii="宋体" w:hAnsi="宋体" w:eastAsia="宋体" w:cs="宋体"/>
                <w:b/>
                <w:bCs/>
                <w:color w:val="000000"/>
                <w:sz w:val="21"/>
                <w:szCs w:val="21"/>
                <w:highlight w:val="none"/>
                <w:lang w:val="en-US" w:eastAsia="zh-CN" w:bidi="ar"/>
              </w:rPr>
              <w:t>很好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较好</w:t>
            </w:r>
          </w:p>
        </w:tc>
        <w:tc>
          <w:tcPr>
            <w:tcW w:w="843"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一般</w:t>
            </w:r>
          </w:p>
        </w:tc>
        <w:tc>
          <w:tcPr>
            <w:tcW w:w="844" w:type="pct"/>
            <w:tcBorders>
              <w:top w:val="single" w:color="4F81BD" w:sz="12" w:space="0"/>
              <w:left w:val="single" w:color="4F81BD" w:sz="4" w:space="0"/>
              <w:bottom w:val="single" w:color="4F81BD" w:sz="4" w:space="0"/>
              <w:right w:val="single" w:color="4F81BD" w:sz="4" w:space="0"/>
            </w:tcBorders>
            <w:noWrap w:val="0"/>
            <w:vAlign w:val="center"/>
          </w:tcPr>
          <w:p>
            <w:pPr>
              <w:widowControl/>
              <w:spacing w:line="240" w:lineRule="auto"/>
              <w:jc w:val="both"/>
              <w:textAlignment w:val="center"/>
              <w:rPr>
                <w:rFonts w:hint="eastAsia" w:ascii="宋体" w:hAnsi="宋体" w:eastAsia="宋体" w:cs="宋体"/>
                <w:b/>
                <w:bCs/>
                <w:color w:val="000000"/>
                <w:sz w:val="21"/>
                <w:szCs w:val="21"/>
                <w:highlight w:val="none"/>
                <w:lang w:bidi="ar"/>
              </w:rPr>
            </w:pPr>
            <w:r>
              <w:rPr>
                <w:rFonts w:hint="eastAsia" w:ascii="宋体" w:hAnsi="宋体" w:eastAsia="宋体" w:cs="宋体"/>
                <w:b/>
                <w:bCs/>
                <w:color w:val="000000"/>
                <w:sz w:val="21"/>
                <w:szCs w:val="21"/>
                <w:highlight w:val="none"/>
                <w:lang w:bidi="ar"/>
              </w:rPr>
              <w:t>较差</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政治素养</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51.09%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3.26%</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专业水平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47.83%</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50.00%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2.17%</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职业能力</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45.65%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50.00%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4.35%</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外语水平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41.30%</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48.91%</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9.78%</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文字表达水平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43.48%</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51.09%</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5.43%</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r>
        <w:tblPrEx>
          <w:tblCellMar>
            <w:top w:w="0" w:type="dxa"/>
            <w:left w:w="108" w:type="dxa"/>
            <w:bottom w:w="0" w:type="dxa"/>
            <w:right w:w="108" w:type="dxa"/>
          </w:tblCellMar>
        </w:tblPrEx>
        <w:trPr>
          <w:trHeight w:val="454" w:hRule="atLeast"/>
        </w:trPr>
        <w:tc>
          <w:tcPr>
            <w:tcW w:w="162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default" w:ascii="宋体" w:hAnsi="宋体" w:eastAsia="宋体" w:cs="宋体"/>
                <w:sz w:val="21"/>
                <w:szCs w:val="21"/>
                <w:highlight w:val="none"/>
                <w:lang w:val="en-US" w:eastAsia="zh-CN"/>
              </w:rPr>
              <w:t>计算机操作水平</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45.65%</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46.74%</w:t>
            </w:r>
          </w:p>
        </w:tc>
        <w:tc>
          <w:tcPr>
            <w:tcW w:w="843"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7.61%</w:t>
            </w:r>
          </w:p>
        </w:tc>
        <w:tc>
          <w:tcPr>
            <w:tcW w:w="844" w:type="pct"/>
            <w:tcBorders>
              <w:top w:val="single" w:color="4F81BD" w:sz="4" w:space="0"/>
              <w:left w:val="single" w:color="4F81BD" w:sz="4" w:space="0"/>
              <w:bottom w:val="single" w:color="4F81BD" w:sz="4" w:space="0"/>
              <w:right w:val="single" w:color="4F81BD" w:sz="4" w:space="0"/>
            </w:tcBorders>
            <w:noWrap w:val="0"/>
            <w:vAlign w:val="center"/>
          </w:tcPr>
          <w:p>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0.00%</w:t>
            </w:r>
          </w:p>
        </w:tc>
      </w:tr>
    </w:tbl>
    <w:p>
      <w:pPr>
        <w:bidi w:val="0"/>
        <w:ind w:left="0" w:leftChars="0" w:firstLine="0" w:firstLineChars="0"/>
        <w:jc w:val="center"/>
        <w:rPr>
          <w:rFonts w:hint="eastAsia" w:ascii="宋体" w:hAnsi="宋体" w:eastAsia="宋体" w:cs="宋体"/>
          <w:kern w:val="2"/>
          <w:sz w:val="21"/>
          <w:szCs w:val="21"/>
          <w:highlight w:val="none"/>
          <w:lang w:val="en-US" w:eastAsia="zh-CN" w:bidi="ar-SA"/>
        </w:rPr>
      </w:pP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在人才培养和教学方面应做哪些改革</w:t>
      </w:r>
    </w:p>
    <w:p>
      <w:pPr>
        <w:bidi w:val="0"/>
        <w:rPr>
          <w:rFonts w:hint="eastAsia"/>
          <w:highlight w:val="none"/>
          <w:lang w:val="en-US" w:eastAsia="zh-CN"/>
        </w:rPr>
      </w:pPr>
      <w:r>
        <w:rPr>
          <w:rFonts w:hint="eastAsia"/>
          <w:highlight w:val="none"/>
          <w:lang w:val="en-US" w:eastAsia="zh-CN"/>
        </w:rPr>
        <w:t>调查显示，50.00%的单位希望我校强化教学实习、见习及社会实践环节，加强应用能力培养，43.48%的单位希望我校加强基础知识培养、拓宽知识面，然后是加强竞争意识和创新能力培养。详见下图。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5104130"/>
            <wp:effectExtent l="0" t="0" r="1905" b="1270"/>
            <wp:docPr id="128" name="图表 128"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在人才培养和教学方面应做哪些改革</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对我校学生就业工作服务是否满意</w:t>
      </w:r>
    </w:p>
    <w:p>
      <w:pPr>
        <w:bidi w:val="0"/>
        <w:rPr>
          <w:rFonts w:hint="eastAsia"/>
          <w:highlight w:val="none"/>
          <w:lang w:val="en-US" w:eastAsia="zh-CN"/>
        </w:rPr>
      </w:pPr>
      <w:r>
        <w:rPr>
          <w:rFonts w:hint="eastAsia"/>
          <w:highlight w:val="none"/>
          <w:lang w:val="en-US" w:eastAsia="zh-CN"/>
        </w:rPr>
        <w:t>调查显示，98.91%的受访单位对我校学生就业服务工作表示满意，没有单位表示不满意。详见下图。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072005"/>
            <wp:effectExtent l="0" t="0" r="1905" b="4445"/>
            <wp:docPr id="90" name="图表 90"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对我校学生就业工作服务是否满意</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校就业服务工作在哪些方面需要加强</w:t>
      </w:r>
    </w:p>
    <w:p>
      <w:pPr>
        <w:bidi w:val="0"/>
        <w:rPr>
          <w:rFonts w:hint="eastAsia"/>
          <w:highlight w:val="none"/>
          <w:lang w:val="en-US" w:eastAsia="zh-CN"/>
        </w:rPr>
      </w:pPr>
      <w:r>
        <w:rPr>
          <w:rFonts w:hint="eastAsia"/>
          <w:highlight w:val="none"/>
          <w:lang w:val="en-US" w:eastAsia="zh-CN"/>
        </w:rPr>
        <w:t>调查显示，增强校园招聘会的宣传力度是当前用人单位最希望加强的就业服务工作，其次是加强学生求职、择业方面培训指导，最后是改善招聘场地基础设施。详见下图。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2118995"/>
            <wp:effectExtent l="0" t="0" r="1905" b="5080"/>
            <wp:docPr id="91" name="图表 91"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校就业服务工作在哪些方面需要加强</w:t>
      </w:r>
    </w:p>
    <w:p>
      <w:pPr>
        <w:numPr>
          <w:ilvl w:val="0"/>
          <w:numId w:val="16"/>
        </w:numPr>
        <w:bidi w:val="0"/>
        <w:ind w:left="845" w:leftChars="0" w:hanging="425" w:firstLineChars="0"/>
        <w:rPr>
          <w:rFonts w:hint="eastAsia"/>
          <w:highlight w:val="none"/>
          <w:lang w:val="en-US" w:eastAsia="zh-CN"/>
        </w:rPr>
      </w:pPr>
      <w:r>
        <w:rPr>
          <w:rFonts w:hint="eastAsia"/>
          <w:highlight w:val="none"/>
          <w:lang w:val="en-US" w:eastAsia="zh-CN"/>
        </w:rPr>
        <w:t>目前大学生就业难的主要原因</w:t>
      </w:r>
    </w:p>
    <w:p>
      <w:pPr>
        <w:bidi w:val="0"/>
        <w:rPr>
          <w:rFonts w:hint="eastAsia"/>
          <w:highlight w:val="none"/>
          <w:lang w:val="en-US" w:eastAsia="zh-CN"/>
        </w:rPr>
      </w:pPr>
      <w:r>
        <w:rPr>
          <w:rFonts w:hint="eastAsia"/>
          <w:highlight w:val="none"/>
          <w:lang w:val="en-US" w:eastAsia="zh-CN"/>
        </w:rPr>
        <w:t>调查显示，毕业生就业期望过高是毕业生就业期望值过高用人单位认为大学生就业难的主要原因，其次是就业信息不对称和毕业生缺乏社会工作和实践经验。详见下图。</w:t>
      </w:r>
    </w:p>
    <w:p>
      <w:pPr>
        <w:bidi w:val="0"/>
        <w:ind w:left="0" w:leftChars="0" w:firstLine="0" w:firstLineChars="0"/>
        <w:jc w:val="center"/>
        <w:rPr>
          <w:rFonts w:hint="eastAsia" w:ascii="宋体" w:hAnsi="宋体" w:cs="宋体"/>
          <w:b/>
          <w:bCs/>
          <w:kern w:val="2"/>
          <w:sz w:val="21"/>
          <w:szCs w:val="22"/>
          <w:highlight w:val="none"/>
          <w:lang w:val="en-US" w:eastAsia="zh-CN" w:bidi="ar-SA"/>
        </w:rPr>
      </w:pPr>
      <w:r>
        <w:rPr>
          <w:rFonts w:hint="eastAsia" w:eastAsia="宋体"/>
          <w:highlight w:val="none"/>
          <w:lang w:eastAsia="zh-CN"/>
        </w:rPr>
        <w:drawing>
          <wp:inline distT="0" distB="0" distL="114300" distR="114300">
            <wp:extent cx="5455920" cy="5419725"/>
            <wp:effectExtent l="0" t="0" r="1905" b="0"/>
            <wp:docPr id="129" name="图表 129" descr="7b0a202020202263686172745265734964223a202232303437333431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rFonts w:hint="eastAsia" w:ascii="宋体" w:hAnsi="宋体" w:eastAsia="宋体" w:cs="宋体"/>
          <w:kern w:val="2"/>
          <w:sz w:val="21"/>
          <w:szCs w:val="21"/>
          <w:highlight w:val="none"/>
          <w:lang w:val="en-US" w:eastAsia="zh-CN" w:bidi="ar-SA"/>
        </w:rPr>
        <w:t>图</w:t>
      </w:r>
      <w:r>
        <w:rPr>
          <w:rFonts w:hint="eastAsia" w:ascii="宋体" w:hAnsi="宋体" w:cs="宋体"/>
          <w:kern w:val="2"/>
          <w:sz w:val="21"/>
          <w:szCs w:val="21"/>
          <w:highlight w:val="none"/>
          <w:lang w:val="en-US" w:eastAsia="zh-CN" w:bidi="ar-SA"/>
        </w:rPr>
        <w:t xml:space="preserve"> </w:t>
      </w:r>
      <w:r>
        <w:rPr>
          <w:rFonts w:hint="eastAsia" w:ascii="宋体" w:hAnsi="宋体" w:eastAsia="宋体" w:cs="宋体"/>
          <w:kern w:val="2"/>
          <w:sz w:val="21"/>
          <w:szCs w:val="21"/>
          <w:highlight w:val="none"/>
          <w:lang w:val="en-US" w:eastAsia="zh-CN" w:bidi="ar-SA"/>
        </w:rPr>
        <w:t>目前大学生就业难的主要原因</w:t>
      </w:r>
    </w:p>
    <w:p>
      <w:pPr>
        <w:jc w:val="center"/>
        <w:rPr>
          <w:rFonts w:hint="eastAsia" w:ascii="宋体" w:hAnsi="宋体" w:cs="宋体"/>
          <w:b/>
          <w:bCs/>
          <w:highlight w:val="none"/>
        </w:rPr>
      </w:pPr>
    </w:p>
    <w:p>
      <w:pPr>
        <w:pStyle w:val="2"/>
        <w:numPr>
          <w:numId w:val="0"/>
        </w:numPr>
        <w:bidi w:val="0"/>
        <w:ind w:firstLine="321" w:firstLineChars="100"/>
        <w:jc w:val="center"/>
        <w:rPr>
          <w:rFonts w:hint="eastAsia" w:ascii="宋体" w:hAnsi="宋体" w:eastAsia="宋体" w:cs="宋体"/>
          <w:sz w:val="24"/>
          <w:szCs w:val="24"/>
        </w:rPr>
      </w:pPr>
      <w:bookmarkStart w:id="285" w:name="_Toc13452"/>
      <w:bookmarkStart w:id="286" w:name="_Toc30551"/>
      <w:bookmarkStart w:id="287" w:name="_Toc8405"/>
      <w:bookmarkStart w:id="288" w:name="_Toc31124"/>
      <w:bookmarkStart w:id="289" w:name="_Toc469323044"/>
      <w:r>
        <w:rPr>
          <w:rFonts w:hint="eastAsia"/>
          <w:highlight w:val="none"/>
          <w:lang w:val="en-US" w:eastAsia="zh-CN"/>
        </w:rPr>
        <w:t xml:space="preserve">第八部分  </w:t>
      </w:r>
      <w:r>
        <w:rPr>
          <w:rFonts w:hint="eastAsia"/>
          <w:highlight w:val="none"/>
        </w:rPr>
        <w:t>毕业生就业工作的特色举措</w:t>
      </w:r>
      <w:bookmarkEnd w:id="285"/>
      <w:bookmarkEnd w:id="286"/>
      <w:bookmarkEnd w:id="287"/>
      <w:bookmarkEnd w:id="288"/>
      <w:bookmarkEnd w:id="289"/>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面对受疫情影响就业形势，学院深入学习贯彻习近平总书记关于就业工作的重要指示精神，充分认识做好就业工作是坚持以人为本改善民生、维护社会和谐稳定、推动高质量发展的迫切需要，积极响应国家“百日冲刺”行动，切实增强紧迫感和责任感，加强研判，找对策、定目标，多措并举促进就业工作稳步推进。</w:t>
      </w:r>
    </w:p>
    <w:p>
      <w:pPr>
        <w:jc w:val="both"/>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(一)加强领导，高度重视，逐步形成良性机制</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院党委将毕业生就业工作放在十分重要的位置，先后多次召开党委会、学院各基层单位党政主要负责人会议，及时研究毕业生就业形势，精心制定相应工作方案，周密部署相关工作，将毕业生就业工作作为学院和各二级学院“一把手”工程狠抓落实。</w:t>
      </w:r>
    </w:p>
    <w:p>
      <w:pPr>
        <w:jc w:val="both"/>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(二)拓宽思路，强化服务，努力搭建就业平台</w:t>
      </w:r>
    </w:p>
    <w:p>
      <w:pPr>
        <w:ind w:left="0" w:leftChars="0" w:firstLine="480" w:firstLineChars="200"/>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对往届毕业生就业方向的跟踪调查</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招就办对近三届毕业生的就业方向进行跟踪调查，分专业进行统筹分析，为充分了解毕业生就业情况，加强工作中的分类指导提供了有效参考依据。</w:t>
      </w:r>
    </w:p>
    <w:p>
      <w:pPr>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深入开展高校书记校长访企拓岗促就业专项行动工作</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贯彻党中央、国务院关于高校毕业生就业工作决策部署和省委教育工委省教育厅指示要求，我院结合合肥市疫情防控具体要求，实施了书记院长线上线下协同联动访企拓岗促就业专项行动。7月上旬院长张云、副院长荆明带领学院一干人马利用暑期先后赴宣城市泾县、郎溪县以及合肥本地等企业走访调研，了解企业人才需求，为学生提供更多实践、实习、就业机会。8月中旬院党委书记毛德权通过线上与全国数十家优秀企业单位负责人开展云访企拓岗座谈会，希望学校与企业能够进一步加强交流合作领域，为毕业生提供更多就业岗位，实现双方互惠共赢、共同发展。8月下旬分管副院长秦励带队赴中国银行等大型企业沟通交流，为毕业生争取更多的优质就业岗位。</w:t>
      </w:r>
    </w:p>
    <w:p>
      <w:pPr>
        <w:numPr>
          <w:numId w:val="0"/>
        </w:numPr>
        <w:ind w:firstLine="240" w:firstLineChars="100"/>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积极筹办毕业生线上网络招聘会</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严格审核线上用人单位及招聘岗位信息，确保信息真实可靠。扩宽就业渠道是妥善做好疫情期间及后疫情时代毕业生就业工作的关键，而线上招聘则成为主要渠道。我院积极利用互联网等技术优势，通过班主任辅导员、学院官网发布、qq群、微信、钉钉等多种途径畅通毕业生招聘信息发布渠道，主动深入到用人单位去采集信息和走访调研，与用人单位联系并建立良好的合作关系，精准开展就业指导和网络招聘会活动，实现毕业生和用人单位进行双向选择。为2022届离校未就业毕业生提供不断线的就业服务；</w:t>
      </w:r>
    </w:p>
    <w:p>
      <w:pPr>
        <w:numPr>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开展毕业重点群体生帮扶工作</w:t>
      </w:r>
    </w:p>
    <w:p>
      <w:pPr>
        <w:numPr>
          <w:ilvl w:val="0"/>
          <w:numId w:val="0"/>
        </w:numPr>
        <w:ind w:lef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高度关注毕业生重点群体，如贫困家庭毕业生、少数民族毕业生，残疾毕业生等，重点落实“一对一”帮扶举措，切实加强困难帮扶，今年我院建档立卡贫困毕业生就业帮扶率达到100%。</w:t>
      </w:r>
    </w:p>
    <w:p>
      <w:pPr>
        <w:numPr>
          <w:numId w:val="0"/>
        </w:numPr>
        <w:ind w:leftChars="0" w:firstLine="480" w:firstLineChars="200"/>
        <w:jc w:val="both"/>
        <w:rPr>
          <w:rFonts w:hint="eastAsia" w:ascii="宋体" w:hAnsi="宋体" w:eastAsia="宋体" w:cs="宋体"/>
          <w:sz w:val="24"/>
          <w:szCs w:val="24"/>
          <w:lang w:val="en-US" w:eastAsia="zh-CN"/>
        </w:rPr>
      </w:pPr>
      <w:bookmarkStart w:id="290" w:name="_GoBack"/>
      <w:bookmarkEnd w:id="290"/>
      <w:r>
        <w:rPr>
          <w:rFonts w:hint="eastAsia" w:ascii="宋体" w:hAnsi="宋体" w:cs="宋体"/>
          <w:sz w:val="24"/>
          <w:szCs w:val="24"/>
          <w:lang w:val="en-US" w:eastAsia="zh-CN"/>
        </w:rPr>
        <w:t>（5）</w:t>
      </w:r>
      <w:r>
        <w:rPr>
          <w:rFonts w:hint="eastAsia" w:ascii="宋体" w:hAnsi="宋体" w:eastAsia="宋体" w:cs="宋体"/>
          <w:sz w:val="24"/>
          <w:szCs w:val="24"/>
          <w:lang w:val="en-US" w:eastAsia="zh-CN"/>
        </w:rPr>
        <w:t>加强大学生创业优惠政策的宣传，鼓励和支持毕业生自主创业，发挥创业带动就业倍增效应。</w:t>
      </w:r>
    </w:p>
    <w:p>
      <w:pPr>
        <w:numPr>
          <w:numId w:val="0"/>
        </w:numPr>
        <w:rPr>
          <w:rFonts w:hint="eastAsia"/>
        </w:rPr>
      </w:pPr>
    </w:p>
    <w:p>
      <w:pPr>
        <w:bidi w:val="0"/>
        <w:rPr>
          <w:rFonts w:hint="eastAsia" w:ascii="宋体" w:hAnsi="宋体" w:cs="宋体"/>
          <w:b w:val="0"/>
          <w:bCs w:val="0"/>
          <w:kern w:val="2"/>
          <w:sz w:val="28"/>
          <w:szCs w:val="28"/>
          <w:highlight w:val="none"/>
          <w:lang w:val="en-US" w:eastAsia="zh-CN" w:bidi="ar-SA"/>
        </w:rPr>
      </w:pPr>
    </w:p>
    <w:p>
      <w:pPr>
        <w:pStyle w:val="2"/>
        <w:bidi w:val="0"/>
        <w:rPr>
          <w:rStyle w:val="22"/>
          <w:rFonts w:hint="eastAsia" w:ascii="仿宋_GB2312" w:hAnsi="仿宋_GB2312" w:eastAsia="仿宋_GB2312" w:cs="仿宋_GB2312"/>
          <w:color w:val="auto"/>
          <w:szCs w:val="30"/>
          <w:highlight w:val="none"/>
          <w:u w:val="none"/>
          <w:shd w:val="clear" w:color="auto" w:fill="FFFFFF"/>
          <w:lang w:val="en-US" w:eastAsia="zh-CN"/>
        </w:rPr>
      </w:pPr>
    </w:p>
    <w:sectPr>
      <w:headerReference r:id="rId5" w:type="default"/>
      <w:footerReference r:id="rId6" w:type="default"/>
      <w:pgSz w:w="11910" w:h="16160"/>
      <w:pgMar w:top="1420" w:right="1690" w:bottom="800" w:left="1620" w:header="1146" w:footer="612" w:gutter="0"/>
      <w:pgBorders>
        <w:top w:val="none" w:sz="0" w:space="0"/>
        <w:left w:val="none" w:sz="0" w:space="0"/>
        <w:bottom w:val="none" w:sz="0" w:space="0"/>
        <w:right w:val="none" w:sz="0" w:space="0"/>
      </w:pgBorders>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80</w:t>
                          </w:r>
                          <w:r>
                            <w:rPr>
                              <w:rFonts w:hint="eastAsia" w:eastAsia="宋体"/>
                              <w:lang w:eastAsia="zh-CN"/>
                            </w:rPr>
                            <w:t xml:space="preserve"> 页</w:t>
                          </w:r>
                        </w:p>
                      </w:txbxContent>
                    </wps:txbx>
                    <wps:bodyPr wrap="none" lIns="0" tIns="0" rIns="0" bIns="0" upright="0">
                      <a:spAutoFit/>
                    </wps:bodyPr>
                  </wps:wsp>
                </a:graphicData>
              </a:graphic>
            </wp:anchor>
          </w:drawing>
        </mc:Choice>
        <mc:Fallback>
          <w:pict>
            <v:shape id="文本框 107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6TW6/LAQAAnAMAAA4AAAAAAAAAAQAgAAAAHgEAAGRycy9lMm9E&#10;b2MueG1sUEsFBgAAAAAGAAYAWQEAAFs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80</w:t>
                    </w:r>
                    <w:r>
                      <w:rPr>
                        <w:rFonts w:hint="eastAsia" w:eastAsia="宋体"/>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line="360" w:lineRule="auto"/>
        <w:ind w:firstLine="480"/>
      </w:pPr>
      <w:r>
        <w:separator/>
      </w:r>
    </w:p>
  </w:footnote>
  <w:footnote w:type="continuationSeparator" w:id="31">
    <w:p>
      <w:pPr>
        <w:spacing w:line="360" w:lineRule="auto"/>
        <w:ind w:firstLine="480"/>
      </w:pPr>
      <w:r>
        <w:continuationSeparator/>
      </w:r>
    </w:p>
  </w:footnote>
  <w:footnote w:id="0">
    <w:p>
      <w:pPr>
        <w:pStyle w:val="13"/>
        <w:snapToGrid w:val="0"/>
        <w:rPr>
          <w:rFonts w:hint="default" w:ascii="宋体" w:hAnsi="宋体" w:eastAsia="宋体" w:cs="宋体"/>
          <w:b/>
          <w:bCs/>
          <w:lang w:val="en-US" w:eastAsia="zh-CN"/>
        </w:rPr>
      </w:pPr>
      <w:r>
        <w:rPr>
          <w:rStyle w:val="24"/>
          <w:rFonts w:hint="eastAsia" w:ascii="宋体" w:hAnsi="宋体" w:eastAsia="宋体" w:cs="宋体"/>
          <w:b/>
          <w:bCs/>
        </w:rPr>
        <w:footnoteRef/>
      </w:r>
      <w:r>
        <w:rPr>
          <w:rFonts w:hint="eastAsia" w:ascii="宋体" w:hAnsi="宋体" w:eastAsia="宋体" w:cs="宋体"/>
          <w:b/>
          <w:bCs/>
          <w:lang w:val="en-US" w:eastAsia="zh-CN"/>
        </w:rPr>
        <w:t>数据统计截止日期：</w:t>
      </w:r>
      <w:r>
        <w:rPr>
          <w:rFonts w:hint="eastAsia" w:ascii="宋体" w:hAnsi="宋体" w:cs="宋体"/>
          <w:b/>
          <w:bCs/>
          <w:lang w:val="en-US" w:eastAsia="zh-CN"/>
        </w:rPr>
        <w:t>2022年8月31日；</w:t>
      </w:r>
    </w:p>
  </w:footnote>
  <w:footnote w:id="1">
    <w:p>
      <w:pPr>
        <w:pStyle w:val="13"/>
        <w:snapToGrid w:val="0"/>
        <w:rPr>
          <w:rFonts w:hint="default" w:eastAsia="宋体"/>
          <w:lang w:val="en-US" w:eastAsia="zh-CN"/>
        </w:rPr>
      </w:pPr>
      <w:r>
        <w:rPr>
          <w:rStyle w:val="24"/>
        </w:rPr>
        <w:footnoteRef/>
      </w:r>
      <w:r>
        <w:t xml:space="preserve"> </w:t>
      </w:r>
      <w:r>
        <w:rPr>
          <w:rFonts w:hint="eastAsia" w:ascii="宋体" w:hAnsi="宋体" w:cs="宋体"/>
          <w:b/>
          <w:sz w:val="18"/>
          <w:szCs w:val="18"/>
        </w:rPr>
        <w:t>根据教育部的统计口径：</w:t>
      </w:r>
      <w:r>
        <w:rPr>
          <w:rFonts w:hint="eastAsia" w:ascii="宋体" w:hAnsi="宋体" w:cs="宋体"/>
          <w:b/>
          <w:sz w:val="18"/>
          <w:szCs w:val="18"/>
          <w:lang w:eastAsia="zh-CN"/>
        </w:rPr>
        <w:t>毕业去向落实率</w:t>
      </w:r>
      <w:r>
        <w:rPr>
          <w:rFonts w:hint="eastAsia" w:ascii="宋体" w:hAnsi="宋体" w:cs="宋体"/>
          <w:b/>
          <w:sz w:val="18"/>
          <w:szCs w:val="18"/>
        </w:rPr>
        <w:t>=（毕业生总人数-待就业</w:t>
      </w:r>
      <w:r>
        <w:rPr>
          <w:rFonts w:hint="eastAsia" w:ascii="宋体" w:hAnsi="宋体" w:cs="宋体"/>
          <w:b/>
          <w:sz w:val="18"/>
          <w:szCs w:val="18"/>
          <w:lang w:val="en-US" w:eastAsia="zh-CN"/>
        </w:rPr>
        <w:t>人数</w:t>
      </w:r>
      <w:r>
        <w:rPr>
          <w:rFonts w:hint="eastAsia" w:ascii="宋体" w:hAnsi="宋体" w:cs="宋体"/>
          <w:b/>
          <w:sz w:val="18"/>
          <w:szCs w:val="18"/>
        </w:rPr>
        <w:t>-暂不就业拟升学</w:t>
      </w:r>
      <w:r>
        <w:rPr>
          <w:rFonts w:hint="eastAsia" w:ascii="宋体" w:hAnsi="宋体" w:cs="宋体"/>
          <w:b/>
          <w:sz w:val="18"/>
          <w:szCs w:val="18"/>
          <w:lang w:val="en-US" w:eastAsia="zh-CN"/>
        </w:rPr>
        <w:t>人数</w:t>
      </w:r>
      <w:r>
        <w:rPr>
          <w:rFonts w:hint="eastAsia" w:ascii="宋体" w:hAnsi="宋体" w:cs="宋体"/>
          <w:b/>
          <w:sz w:val="18"/>
          <w:szCs w:val="18"/>
        </w:rPr>
        <w:t>-其他暂不就业</w:t>
      </w:r>
      <w:r>
        <w:rPr>
          <w:rFonts w:hint="eastAsia" w:ascii="宋体" w:hAnsi="宋体" w:cs="宋体"/>
          <w:b/>
          <w:sz w:val="18"/>
          <w:szCs w:val="18"/>
          <w:lang w:val="en-US" w:eastAsia="zh-CN"/>
        </w:rPr>
        <w:t>人数</w:t>
      </w:r>
      <w:r>
        <w:rPr>
          <w:rFonts w:hint="eastAsia" w:ascii="宋体" w:hAnsi="宋体" w:cs="宋体"/>
          <w:b/>
          <w:sz w:val="18"/>
          <w:szCs w:val="18"/>
        </w:rPr>
        <w:t>）/毕业生总人数。</w:t>
      </w:r>
    </w:p>
  </w:footnote>
  <w:footnote w:id="2">
    <w:p>
      <w:pPr>
        <w:pStyle w:val="13"/>
        <w:snapToGrid w:val="0"/>
        <w:rPr>
          <w:rFonts w:hint="default" w:ascii="宋体" w:hAnsi="宋体" w:cs="宋体"/>
          <w:b/>
          <w:sz w:val="18"/>
          <w:szCs w:val="18"/>
          <w:lang w:val="en-US" w:eastAsia="zh-CN"/>
        </w:rPr>
      </w:pPr>
      <w:r>
        <w:rPr>
          <w:rStyle w:val="24"/>
        </w:rPr>
        <w:footnoteRef/>
      </w:r>
      <w:r>
        <w:t xml:space="preserve"> </w:t>
      </w:r>
      <w:r>
        <w:rPr>
          <w:rFonts w:hint="eastAsia" w:ascii="宋体" w:hAnsi="宋体" w:cs="宋体"/>
          <w:b/>
          <w:sz w:val="18"/>
          <w:szCs w:val="18"/>
          <w:lang w:val="en-US" w:eastAsia="zh-CN"/>
        </w:rPr>
        <w:t>毕业去向落实数指毕业生毕业去向除去待就业、暂不就业和其他暂不就业的毕业生人数总和。</w:t>
      </w:r>
    </w:p>
  </w:footnote>
  <w:footnote w:id="3">
    <w:p>
      <w:pPr>
        <w:keepNext w:val="0"/>
        <w:keepLines w:val="0"/>
        <w:pageBreakBefore w:val="0"/>
        <w:widowControl w:val="0"/>
        <w:kinsoku/>
        <w:wordWrap/>
        <w:overflowPunct/>
        <w:topLinePunct w:val="0"/>
        <w:autoSpaceDE/>
        <w:autoSpaceDN/>
        <w:bidi w:val="0"/>
        <w:adjustRightInd/>
        <w:snapToGrid/>
        <w:spacing w:line="240" w:lineRule="auto"/>
        <w:ind w:left="0" w:leftChars="0" w:firstLine="361" w:firstLineChars="200"/>
        <w:jc w:val="left"/>
        <w:textAlignment w:val="auto"/>
        <w:rPr>
          <w:rFonts w:hint="eastAsia" w:ascii="宋体" w:hAnsi="宋体" w:eastAsia="宋体" w:cs="宋体"/>
          <w:b/>
          <w:bCs/>
          <w:kern w:val="2"/>
          <w:sz w:val="18"/>
          <w:szCs w:val="18"/>
          <w:lang w:val="en-US" w:eastAsia="zh-CN" w:bidi="ar-SA"/>
        </w:rPr>
      </w:pPr>
      <w:r>
        <w:rPr>
          <w:rStyle w:val="24"/>
          <w:rFonts w:hint="eastAsia" w:ascii="宋体" w:hAnsi="宋体" w:eastAsia="宋体" w:cs="宋体"/>
          <w:b/>
          <w:bCs/>
          <w:sz w:val="18"/>
          <w:szCs w:val="18"/>
        </w:rPr>
        <w:footnoteRef/>
      </w:r>
      <w:r>
        <w:rPr>
          <w:rFonts w:hint="eastAsia" w:ascii="宋体" w:hAnsi="宋体" w:eastAsia="宋体" w:cs="宋体"/>
          <w:b/>
          <w:bCs/>
          <w:sz w:val="18"/>
          <w:szCs w:val="18"/>
        </w:rPr>
        <w:t xml:space="preserve"> </w:t>
      </w:r>
      <w:r>
        <w:rPr>
          <w:rFonts w:hint="eastAsia" w:ascii="宋体" w:hAnsi="宋体" w:eastAsia="宋体" w:cs="宋体"/>
          <w:b/>
          <w:bCs/>
          <w:kern w:val="2"/>
          <w:sz w:val="18"/>
          <w:szCs w:val="18"/>
          <w:lang w:val="en-US" w:eastAsia="zh-CN" w:bidi="ar-SA"/>
        </w:rPr>
        <w:t>七率是教育部最新的关于毕业生就业</w:t>
      </w:r>
      <w:r>
        <w:rPr>
          <w:rFonts w:hint="eastAsia" w:ascii="宋体" w:hAnsi="宋体" w:cs="宋体"/>
          <w:b/>
          <w:bCs/>
          <w:kern w:val="2"/>
          <w:sz w:val="18"/>
          <w:szCs w:val="18"/>
          <w:lang w:val="en-US" w:eastAsia="zh-CN" w:bidi="ar-SA"/>
        </w:rPr>
        <w:t>数据统计的</w:t>
      </w:r>
      <w:r>
        <w:rPr>
          <w:rFonts w:hint="eastAsia" w:ascii="宋体" w:hAnsi="宋体" w:eastAsia="宋体" w:cs="宋体"/>
          <w:b/>
          <w:bCs/>
          <w:kern w:val="2"/>
          <w:sz w:val="18"/>
          <w:szCs w:val="18"/>
          <w:lang w:val="en-US" w:eastAsia="zh-CN" w:bidi="ar-SA"/>
        </w:rPr>
        <w:t>的7</w:t>
      </w:r>
      <w:r>
        <w:rPr>
          <w:rFonts w:hint="eastAsia" w:ascii="宋体" w:hAnsi="宋体" w:cs="宋体"/>
          <w:b/>
          <w:bCs/>
          <w:kern w:val="2"/>
          <w:sz w:val="18"/>
          <w:szCs w:val="18"/>
          <w:lang w:val="en-US" w:eastAsia="zh-CN" w:bidi="ar-SA"/>
        </w:rPr>
        <w:t>项</w:t>
      </w:r>
      <w:r>
        <w:rPr>
          <w:rFonts w:hint="eastAsia" w:ascii="宋体" w:hAnsi="宋体" w:eastAsia="宋体" w:cs="宋体"/>
          <w:b/>
          <w:bCs/>
          <w:kern w:val="2"/>
          <w:sz w:val="18"/>
          <w:szCs w:val="18"/>
          <w:lang w:val="en-US" w:eastAsia="zh-CN" w:bidi="ar-SA"/>
        </w:rPr>
        <w:t>指标，具体如下：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lang w:val="en-US" w:eastAsia="zh-CN"/>
        </w:rPr>
      </w:pPr>
      <w:r>
        <w:rPr>
          <w:rFonts w:hint="eastAsia" w:ascii="宋体" w:hAnsi="宋体" w:cs="宋体"/>
          <w:b w:val="0"/>
          <w:bCs w:val="0"/>
          <w:sz w:val="18"/>
          <w:szCs w:val="18"/>
          <w:lang w:val="en-US" w:eastAsia="zh-CN"/>
        </w:rPr>
        <w:t>毕业去向落实率</w:t>
      </w:r>
      <w:r>
        <w:rPr>
          <w:rFonts w:hint="eastAsia" w:ascii="宋体" w:hAnsi="宋体" w:eastAsia="宋体" w:cs="宋体"/>
          <w:b w:val="0"/>
          <w:bCs w:val="0"/>
          <w:sz w:val="18"/>
          <w:szCs w:val="18"/>
        </w:rPr>
        <w:t>=（毕业生总人数</w:t>
      </w:r>
      <w:r>
        <w:rPr>
          <w:rFonts w:hint="eastAsia" w:ascii="宋体" w:hAnsi="宋体" w:cs="宋体"/>
          <w:b w:val="0"/>
          <w:bCs w:val="0"/>
          <w:sz w:val="18"/>
          <w:szCs w:val="18"/>
          <w:lang w:val="en-US" w:eastAsia="zh-CN"/>
        </w:rPr>
        <w:t>-待就业人数-不就业拟升学人数-其他暂不就业人数</w:t>
      </w:r>
      <w:r>
        <w:rPr>
          <w:rFonts w:hint="eastAsia" w:ascii="宋体" w:hAnsi="宋体" w:eastAsia="宋体" w:cs="宋体"/>
          <w:b w:val="0"/>
          <w:bCs w:val="0"/>
          <w:sz w:val="18"/>
          <w:szCs w:val="18"/>
        </w:rPr>
        <w:t>）/毕业生总人数。</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pPr>
      <w:r>
        <w:rPr>
          <w:rFonts w:hint="eastAsia" w:ascii="宋体" w:hAnsi="宋体" w:eastAsia="宋体" w:cs="宋体"/>
          <w:b w:val="0"/>
          <w:bCs w:val="0"/>
          <w:sz w:val="18"/>
          <w:szCs w:val="18"/>
          <w:lang w:val="en-US" w:eastAsia="zh-CN"/>
        </w:rPr>
        <w:t>签订协议和劳动合同就业率</w:t>
      </w:r>
      <w:r>
        <w:rPr>
          <w:rFonts w:hint="eastAsia" w:ascii="宋体" w:hAnsi="宋体" w:eastAsia="宋体" w:cs="宋体"/>
          <w:b w:val="0"/>
          <w:bCs w:val="0"/>
          <w:sz w:val="18"/>
          <w:szCs w:val="18"/>
        </w:rPr>
        <w:t>=（</w:t>
      </w:r>
      <w:r>
        <w:rPr>
          <w:rFonts w:hint="eastAsia" w:ascii="宋体" w:hAnsi="宋体" w:eastAsia="宋体" w:cs="宋体"/>
          <w:b w:val="0"/>
          <w:bCs w:val="0"/>
          <w:sz w:val="18"/>
          <w:szCs w:val="18"/>
          <w:lang w:val="en-US" w:eastAsia="zh-CN"/>
        </w:rPr>
        <w:t>签订协议人数+劳动合同人数+科研助理人数+应征义务兵人数+基层项目人数</w:t>
      </w:r>
      <w:r>
        <w:rPr>
          <w:rFonts w:hint="eastAsia" w:ascii="宋体" w:hAnsi="宋体" w:eastAsia="宋体" w:cs="宋体"/>
          <w:b w:val="0"/>
          <w:bCs w:val="0"/>
          <w:sz w:val="18"/>
          <w:szCs w:val="18"/>
        </w:rPr>
        <w:t>）/毕业生总人数</w:t>
      </w:r>
      <w:r>
        <w:rPr>
          <w:rFonts w:hint="eastAsia" w:ascii="宋体" w:hAnsi="宋体" w:cs="宋体"/>
          <w:b w:val="0"/>
          <w:bCs w:val="0"/>
          <w:sz w:val="18"/>
          <w:szCs w:val="18"/>
          <w:lang w:eastAsia="zh-CN"/>
        </w:rPr>
        <w:t>；</w:t>
      </w:r>
      <w:r>
        <w:rPr>
          <w:rFonts w:hint="eastAsia" w:ascii="宋体" w:hAnsi="宋体" w:eastAsia="宋体" w:cs="宋体"/>
          <w:b w:val="0"/>
          <w:bCs w:val="0"/>
          <w:sz w:val="18"/>
          <w:szCs w:val="18"/>
          <w:lang w:val="en-US" w:eastAsia="zh-CN"/>
        </w:rPr>
        <w:t>灵活就业率=（其他形式就业人数+自由职业人数）/毕业生总人数</w:t>
      </w:r>
      <w:r>
        <w:rPr>
          <w:rFonts w:hint="eastAsia" w:ascii="宋体" w:hAnsi="宋体" w:cs="宋体"/>
          <w:b w:val="0"/>
          <w:bCs w:val="0"/>
          <w:sz w:val="18"/>
          <w:szCs w:val="18"/>
          <w:lang w:val="en-US" w:eastAsia="zh-CN"/>
        </w:rPr>
        <w:t>；</w:t>
      </w:r>
      <w:r>
        <w:rPr>
          <w:rFonts w:hint="eastAsia" w:ascii="宋体" w:hAnsi="宋体" w:eastAsia="宋体" w:cs="宋体"/>
          <w:b w:val="0"/>
          <w:bCs w:val="0"/>
          <w:sz w:val="18"/>
          <w:szCs w:val="18"/>
          <w:lang w:val="en-US" w:eastAsia="zh-CN"/>
        </w:rPr>
        <w:t>创业率=自主创业人数/毕业生总人数</w:t>
      </w:r>
      <w:r>
        <w:rPr>
          <w:rFonts w:hint="eastAsia" w:ascii="宋体" w:hAnsi="宋体" w:cs="宋体"/>
          <w:b w:val="0"/>
          <w:bCs w:val="0"/>
          <w:sz w:val="18"/>
          <w:szCs w:val="18"/>
          <w:lang w:val="en-US" w:eastAsia="zh-CN"/>
        </w:rPr>
        <w:t>；</w:t>
      </w:r>
      <w:r>
        <w:rPr>
          <w:rFonts w:hint="eastAsia" w:ascii="宋体" w:hAnsi="宋体" w:eastAsia="宋体" w:cs="宋体"/>
          <w:b w:val="0"/>
          <w:bCs w:val="0"/>
          <w:sz w:val="18"/>
          <w:szCs w:val="18"/>
          <w:lang w:val="en-US" w:eastAsia="zh-CN"/>
        </w:rPr>
        <w:t>升学率</w:t>
      </w:r>
      <w:r>
        <w:rPr>
          <w:rFonts w:hint="eastAsia" w:ascii="宋体" w:hAnsi="宋体" w:cs="宋体"/>
          <w:b w:val="0"/>
          <w:bCs w:val="0"/>
          <w:sz w:val="18"/>
          <w:szCs w:val="18"/>
          <w:lang w:val="en-US" w:eastAsia="zh-CN"/>
        </w:rPr>
        <w:t>（含出国出境）</w:t>
      </w:r>
      <w:r>
        <w:rPr>
          <w:rFonts w:hint="eastAsia" w:ascii="宋体" w:hAnsi="宋体" w:eastAsia="宋体" w:cs="宋体"/>
          <w:b w:val="0"/>
          <w:bCs w:val="0"/>
          <w:sz w:val="18"/>
          <w:szCs w:val="18"/>
          <w:lang w:val="en-US" w:eastAsia="zh-CN"/>
        </w:rPr>
        <w:t>=（升学人数+出国出境人数）/毕业生总人数</w:t>
      </w:r>
      <w:r>
        <w:rPr>
          <w:rFonts w:hint="eastAsia" w:ascii="宋体" w:hAnsi="宋体" w:cs="宋体"/>
          <w:b w:val="0"/>
          <w:bCs w:val="0"/>
          <w:sz w:val="18"/>
          <w:szCs w:val="18"/>
          <w:lang w:val="en-US" w:eastAsia="zh-CN"/>
        </w:rPr>
        <w:t>；</w:t>
      </w:r>
      <w:r>
        <w:rPr>
          <w:rFonts w:hint="eastAsia" w:ascii="宋体" w:hAnsi="宋体" w:eastAsia="宋体" w:cs="宋体"/>
          <w:b w:val="0"/>
          <w:bCs w:val="0"/>
          <w:sz w:val="18"/>
          <w:szCs w:val="18"/>
          <w:lang w:val="en-US" w:eastAsia="zh-CN"/>
        </w:rPr>
        <w:t>待就业率=待就业人数/毕业生总人数</w:t>
      </w:r>
      <w:r>
        <w:rPr>
          <w:rFonts w:hint="eastAsia" w:ascii="宋体" w:hAnsi="宋体" w:cs="宋体"/>
          <w:b w:val="0"/>
          <w:bCs w:val="0"/>
          <w:sz w:val="18"/>
          <w:szCs w:val="18"/>
          <w:lang w:val="en-US" w:eastAsia="zh-CN"/>
        </w:rPr>
        <w:t>；暂不就业率</w:t>
      </w:r>
      <w:r>
        <w:rPr>
          <w:rFonts w:hint="eastAsia" w:ascii="宋体" w:hAnsi="宋体" w:eastAsia="宋体" w:cs="宋体"/>
          <w:b w:val="0"/>
          <w:bCs w:val="0"/>
          <w:sz w:val="18"/>
          <w:szCs w:val="18"/>
          <w:lang w:val="en-US" w:eastAsia="zh-CN"/>
        </w:rPr>
        <w:t>=（不就业拟升学人数+其他暂不就业人数）/毕业生总人数</w:t>
      </w:r>
      <w:r>
        <w:rPr>
          <w:rFonts w:hint="eastAsia" w:ascii="宋体" w:hAnsi="宋体" w:cs="宋体"/>
          <w:b w:val="0"/>
          <w:bCs w:val="0"/>
          <w:sz w:val="18"/>
          <w:szCs w:val="18"/>
          <w:lang w:val="en-US" w:eastAsia="zh-CN"/>
        </w:rPr>
        <w:t>。</w:t>
      </w:r>
    </w:p>
  </w:footnote>
  <w:footnote w:id="4">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Style w:val="24"/>
          <w:rFonts w:hint="eastAsia" w:ascii="宋体" w:hAnsi="宋体" w:eastAsia="宋体" w:cs="宋体"/>
          <w:b/>
          <w:bCs/>
          <w:sz w:val="18"/>
          <w:szCs w:val="18"/>
        </w:rPr>
        <w:footnoteRef/>
      </w:r>
      <w:r>
        <w:rPr>
          <w:rFonts w:hint="eastAsia" w:ascii="宋体" w:hAnsi="宋体" w:eastAsia="宋体" w:cs="宋体"/>
          <w:b/>
          <w:bCs/>
          <w:sz w:val="18"/>
          <w:szCs w:val="18"/>
        </w:rPr>
        <w:t xml:space="preserve"> </w:t>
      </w:r>
      <w:r>
        <w:rPr>
          <w:rFonts w:hint="eastAsia" w:ascii="宋体" w:hAnsi="宋体" w:cs="宋体"/>
          <w:b/>
          <w:bCs/>
          <w:sz w:val="18"/>
          <w:szCs w:val="18"/>
          <w:lang w:val="en-US" w:eastAsia="zh-CN"/>
        </w:rPr>
        <w:t>2022年度获得安徽省级优秀毕业生称号的毕业生</w:t>
      </w:r>
    </w:p>
  </w:footnote>
  <w:footnote w:id="5">
    <w:p>
      <w:pPr>
        <w:pStyle w:val="13"/>
        <w:snapToGrid w:val="0"/>
      </w:pPr>
      <w:r>
        <w:rPr>
          <w:rStyle w:val="24"/>
          <w:b/>
          <w:bCs/>
        </w:rPr>
        <w:footnoteRef/>
      </w:r>
      <w:r>
        <w:rPr>
          <w:b/>
          <w:bCs/>
        </w:rPr>
        <w:t xml:space="preserve"> </w:t>
      </w:r>
      <w:r>
        <w:rPr>
          <w:b/>
          <w:bCs/>
          <w:sz w:val="18"/>
        </w:rPr>
        <w:t>统计范围是毕业去向为：签就业协议形式就业、其他录用形式就业、签劳动合同形式就业的</w:t>
      </w:r>
      <w:r>
        <w:rPr>
          <w:rFonts w:hint="eastAsia"/>
          <w:b/>
          <w:bCs/>
          <w:sz w:val="18"/>
          <w:lang w:eastAsia="zh-CN"/>
        </w:rPr>
        <w:t>毕业生</w:t>
      </w:r>
      <w:r>
        <w:rPr>
          <w:sz w:val="18"/>
        </w:rPr>
        <w:t>。</w:t>
      </w:r>
    </w:p>
  </w:footnote>
  <w:footnote w:id="6">
    <w:p>
      <w:pPr>
        <w:pStyle w:val="13"/>
        <w:snapToGrid w:val="0"/>
      </w:pPr>
      <w:r>
        <w:rPr>
          <w:rStyle w:val="24"/>
        </w:rPr>
        <w:footnoteRef/>
      </w:r>
      <w:r>
        <w:t xml:space="preserve"> </w:t>
      </w:r>
      <w:r>
        <w:rPr>
          <w:b/>
          <w:bCs/>
          <w:sz w:val="18"/>
        </w:rPr>
        <w:t>统计范围是毕业去向为：签就业协议形式就业、其他录用形式就业、签劳动合同形式就业的</w:t>
      </w:r>
      <w:r>
        <w:rPr>
          <w:rFonts w:hint="eastAsia"/>
          <w:b/>
          <w:bCs/>
          <w:sz w:val="18"/>
          <w:lang w:eastAsia="zh-CN"/>
        </w:rPr>
        <w:t>毕业生</w:t>
      </w:r>
      <w:r>
        <w:rPr>
          <w:sz w:val="18"/>
        </w:rPr>
        <w:t>。</w:t>
      </w:r>
    </w:p>
  </w:footnote>
  <w:footnote w:id="7">
    <w:p>
      <w:pPr>
        <w:pStyle w:val="13"/>
        <w:snapToGrid w:val="0"/>
      </w:pPr>
      <w:r>
        <w:rPr>
          <w:rStyle w:val="24"/>
        </w:rPr>
        <w:footnoteRef/>
      </w:r>
      <w:r>
        <w:t xml:space="preserve"> </w:t>
      </w:r>
      <w:r>
        <w:rPr>
          <w:b/>
          <w:bCs/>
          <w:sz w:val="18"/>
        </w:rPr>
        <w:t>统计范围是毕业去向为：签就业协议形式就业、其他录用形式就业、签劳动合同形式就业的</w:t>
      </w:r>
      <w:r>
        <w:rPr>
          <w:rFonts w:hint="eastAsia"/>
          <w:b/>
          <w:bCs/>
          <w:sz w:val="18"/>
          <w:lang w:eastAsia="zh-CN"/>
        </w:rPr>
        <w:t>毕业生</w:t>
      </w:r>
      <w:r>
        <w:rPr>
          <w:sz w:val="18"/>
        </w:rPr>
        <w:t>。</w:t>
      </w:r>
    </w:p>
  </w:footnote>
  <w:footnote w:id="8">
    <w:p>
      <w:pPr>
        <w:pStyle w:val="13"/>
        <w:keepNext w:val="0"/>
        <w:keepLines w:val="0"/>
        <w:pageBreakBefore w:val="0"/>
        <w:widowControl w:val="0"/>
        <w:kinsoku/>
        <w:wordWrap/>
        <w:overflowPunct/>
        <w:topLinePunct w:val="0"/>
        <w:autoSpaceDE/>
        <w:autoSpaceDN/>
        <w:bidi w:val="0"/>
        <w:snapToGrid w:val="0"/>
        <w:spacing w:line="240" w:lineRule="auto"/>
        <w:textAlignment w:val="auto"/>
        <w:rPr>
          <w:rStyle w:val="24"/>
          <w:rFonts w:hint="eastAsia"/>
          <w:sz w:val="18"/>
          <w:szCs w:val="18"/>
          <w:vertAlign w:val="superscript"/>
        </w:rPr>
      </w:pPr>
      <w:r>
        <w:rPr>
          <w:rStyle w:val="24"/>
          <w:rFonts w:hint="eastAsia"/>
          <w:sz w:val="21"/>
          <w:szCs w:val="22"/>
          <w:vertAlign w:val="superscript"/>
        </w:rPr>
        <w:footnoteRef/>
      </w:r>
      <w:r>
        <w:rPr>
          <w:rStyle w:val="24"/>
          <w:rFonts w:hint="eastAsia"/>
          <w:sz w:val="21"/>
          <w:szCs w:val="22"/>
          <w:vertAlign w:val="superscript"/>
        </w:rPr>
        <w:t xml:space="preserve"> </w:t>
      </w:r>
      <w:r>
        <w:rPr>
          <w:rFonts w:hint="eastAsia" w:ascii="宋体" w:hAnsi="宋体" w:eastAsia="宋体" w:cs="宋体"/>
          <w:b/>
          <w:bCs/>
          <w:sz w:val="18"/>
          <w:szCs w:val="18"/>
          <w:lang w:val="en-US" w:eastAsia="zh-CN"/>
        </w:rPr>
        <w:t>实际就业人数是指是毕业去向除</w:t>
      </w:r>
      <w:r>
        <w:rPr>
          <w:rFonts w:hint="eastAsia" w:ascii="宋体" w:hAnsi="宋体" w:cs="宋体"/>
          <w:b/>
          <w:bCs/>
          <w:sz w:val="18"/>
          <w:szCs w:val="18"/>
          <w:lang w:val="en-US" w:eastAsia="zh-CN"/>
        </w:rPr>
        <w:t>待就业</w:t>
      </w:r>
      <w:r>
        <w:rPr>
          <w:rFonts w:hint="eastAsia" w:ascii="宋体" w:hAnsi="宋体" w:eastAsia="宋体" w:cs="宋体"/>
          <w:b/>
          <w:bCs/>
          <w:sz w:val="18"/>
          <w:szCs w:val="18"/>
          <w:lang w:val="en-US" w:eastAsia="zh-CN"/>
        </w:rPr>
        <w:t>、应征义务兵、升学、出国出境</w:t>
      </w:r>
      <w:r>
        <w:rPr>
          <w:rFonts w:hint="eastAsia" w:ascii="宋体" w:hAnsi="宋体" w:cs="宋体"/>
          <w:b/>
          <w:bCs/>
          <w:sz w:val="18"/>
          <w:szCs w:val="18"/>
          <w:lang w:val="en-US" w:eastAsia="zh-CN"/>
        </w:rPr>
        <w:t>、不就业拟升学、其他暂不就业</w:t>
      </w:r>
      <w:r>
        <w:rPr>
          <w:rFonts w:hint="eastAsia" w:ascii="宋体" w:hAnsi="宋体" w:eastAsia="宋体" w:cs="宋体"/>
          <w:b/>
          <w:bCs/>
          <w:sz w:val="18"/>
          <w:szCs w:val="18"/>
          <w:lang w:val="en-US" w:eastAsia="zh-CN"/>
        </w:rPr>
        <w:t>之外</w:t>
      </w:r>
      <w:r>
        <w:rPr>
          <w:rFonts w:hint="eastAsia" w:ascii="宋体" w:hAnsi="宋体" w:cs="宋体"/>
          <w:b/>
          <w:bCs/>
          <w:sz w:val="18"/>
          <w:szCs w:val="18"/>
          <w:lang w:val="en-US" w:eastAsia="zh-CN"/>
        </w:rPr>
        <w:t>毕业生</w:t>
      </w:r>
      <w:r>
        <w:rPr>
          <w:rFonts w:hint="eastAsia" w:ascii="宋体" w:hAnsi="宋体" w:eastAsia="宋体" w:cs="宋体"/>
          <w:b/>
          <w:bCs/>
          <w:sz w:val="18"/>
          <w:szCs w:val="18"/>
          <w:lang w:val="en-US" w:eastAsia="zh-CN"/>
        </w:rPr>
        <w:t>之</w:t>
      </w:r>
      <w:r>
        <w:rPr>
          <w:rFonts w:hint="eastAsia" w:ascii="宋体" w:hAnsi="宋体" w:cs="宋体"/>
          <w:b/>
          <w:bCs/>
          <w:sz w:val="18"/>
          <w:szCs w:val="18"/>
          <w:lang w:val="en-US" w:eastAsia="zh-CN"/>
        </w:rPr>
        <w:t>和</w:t>
      </w:r>
      <w:r>
        <w:rPr>
          <w:rFonts w:hint="eastAsia" w:ascii="宋体" w:hAnsi="宋体" w:eastAsia="宋体" w:cs="宋体"/>
          <w:b/>
          <w:bCs/>
          <w:sz w:val="18"/>
          <w:szCs w:val="18"/>
        </w:rPr>
        <w:t>。</w:t>
      </w:r>
    </w:p>
  </w:footnote>
  <w:footnote w:id="9">
    <w:p>
      <w:pPr>
        <w:pStyle w:val="13"/>
        <w:keepNext w:val="0"/>
        <w:keepLines w:val="0"/>
        <w:pageBreakBefore w:val="0"/>
        <w:widowControl w:val="0"/>
        <w:kinsoku/>
        <w:wordWrap/>
        <w:overflowPunct/>
        <w:topLinePunct w:val="0"/>
        <w:autoSpaceDE/>
        <w:autoSpaceDN/>
        <w:bidi w:val="0"/>
        <w:snapToGrid w:val="0"/>
        <w:spacing w:line="240" w:lineRule="auto"/>
        <w:textAlignment w:val="auto"/>
      </w:pPr>
      <w:r>
        <w:rPr>
          <w:rStyle w:val="24"/>
          <w:rFonts w:hint="eastAsia"/>
          <w:sz w:val="21"/>
          <w:szCs w:val="22"/>
          <w:vertAlign w:val="superscript"/>
        </w:rPr>
        <w:footnoteRef/>
      </w:r>
      <w:r>
        <w:rPr>
          <w:rStyle w:val="24"/>
          <w:rFonts w:hint="eastAsia"/>
          <w:sz w:val="21"/>
          <w:szCs w:val="22"/>
          <w:vertAlign w:val="superscript"/>
        </w:rPr>
        <w:t xml:space="preserve"> </w:t>
      </w:r>
      <w:r>
        <w:rPr>
          <w:rFonts w:hint="eastAsia" w:ascii="宋体" w:hAnsi="宋体" w:eastAsia="宋体" w:cs="宋体"/>
          <w:b/>
          <w:bCs/>
          <w:sz w:val="18"/>
          <w:szCs w:val="18"/>
        </w:rPr>
        <w:t>就业地区域划分：华东地区（包括山东、江苏、安徽、浙江、福建、江西、上海）；华南地区（包括广东、广西、海南）；华中地区（包括湖北、湖南、河南）；华北地区（包括北京、</w:t>
      </w:r>
      <w:r>
        <w:rPr>
          <w:rFonts w:hint="eastAsia" w:ascii="宋体" w:hAnsi="宋体" w:eastAsia="宋体" w:cs="宋体"/>
          <w:b/>
          <w:bCs/>
          <w:sz w:val="18"/>
          <w:szCs w:val="18"/>
        </w:rPr>
        <w:fldChar w:fldCharType="begin"/>
      </w:r>
      <w:r>
        <w:rPr>
          <w:rFonts w:hint="eastAsia" w:ascii="宋体" w:hAnsi="宋体" w:eastAsia="宋体" w:cs="宋体"/>
          <w:b/>
          <w:bCs/>
          <w:sz w:val="18"/>
          <w:szCs w:val="18"/>
        </w:rPr>
        <w:instrText xml:space="preserve"> HYPERLINK "http://www.so.com/s?q=%E5%A4%A9%E6%B4%A5&amp;amp;ie=utf-8&amp;amp;src=internal_wenda_recommend_textn" \h </w:instrText>
      </w:r>
      <w:r>
        <w:rPr>
          <w:rFonts w:hint="eastAsia" w:ascii="宋体" w:hAnsi="宋体" w:eastAsia="宋体" w:cs="宋体"/>
          <w:b/>
          <w:bCs/>
          <w:sz w:val="18"/>
          <w:szCs w:val="18"/>
        </w:rPr>
        <w:fldChar w:fldCharType="separate"/>
      </w:r>
      <w:r>
        <w:rPr>
          <w:rFonts w:hint="eastAsia" w:ascii="宋体" w:hAnsi="宋体" w:eastAsia="宋体" w:cs="宋体"/>
          <w:b/>
          <w:bCs/>
          <w:sz w:val="18"/>
          <w:szCs w:val="18"/>
        </w:rPr>
        <w:t>天津</w:t>
      </w:r>
      <w:r>
        <w:rPr>
          <w:rFonts w:hint="eastAsia" w:ascii="宋体" w:hAnsi="宋体" w:eastAsia="宋体" w:cs="宋体"/>
          <w:b/>
          <w:bCs/>
          <w:sz w:val="18"/>
          <w:szCs w:val="18"/>
        </w:rPr>
        <w:fldChar w:fldCharType="end"/>
      </w:r>
      <w:r>
        <w:rPr>
          <w:rFonts w:hint="eastAsia" w:ascii="宋体" w:hAnsi="宋体" w:eastAsia="宋体" w:cs="宋体"/>
          <w:b/>
          <w:bCs/>
          <w:sz w:val="18"/>
          <w:szCs w:val="18"/>
        </w:rPr>
        <w:t>、</w:t>
      </w:r>
      <w:r>
        <w:rPr>
          <w:rFonts w:hint="eastAsia" w:ascii="宋体" w:hAnsi="宋体" w:eastAsia="宋体" w:cs="宋体"/>
          <w:b/>
          <w:bCs/>
          <w:sz w:val="18"/>
          <w:szCs w:val="18"/>
        </w:rPr>
        <w:fldChar w:fldCharType="begin"/>
      </w:r>
      <w:r>
        <w:rPr>
          <w:rFonts w:hint="eastAsia" w:ascii="宋体" w:hAnsi="宋体" w:eastAsia="宋体" w:cs="宋体"/>
          <w:b/>
          <w:bCs/>
          <w:sz w:val="18"/>
          <w:szCs w:val="18"/>
        </w:rPr>
        <w:instrText xml:space="preserve"> HYPERLINK "http://www.so.com/s?q=%E6%B2%B3%E5%8C%97&amp;amp;ie=utf-8&amp;amp;src=internal_wenda_recommend_textn" \h </w:instrText>
      </w:r>
      <w:r>
        <w:rPr>
          <w:rFonts w:hint="eastAsia" w:ascii="宋体" w:hAnsi="宋体" w:eastAsia="宋体" w:cs="宋体"/>
          <w:b/>
          <w:bCs/>
          <w:sz w:val="18"/>
          <w:szCs w:val="18"/>
        </w:rPr>
        <w:fldChar w:fldCharType="separate"/>
      </w:r>
      <w:r>
        <w:rPr>
          <w:rFonts w:hint="eastAsia" w:ascii="宋体" w:hAnsi="宋体" w:eastAsia="宋体" w:cs="宋体"/>
          <w:b/>
          <w:bCs/>
          <w:sz w:val="18"/>
          <w:szCs w:val="18"/>
        </w:rPr>
        <w:t>河北</w:t>
      </w:r>
      <w:r>
        <w:rPr>
          <w:rFonts w:hint="eastAsia" w:ascii="宋体" w:hAnsi="宋体" w:eastAsia="宋体" w:cs="宋体"/>
          <w:b/>
          <w:bCs/>
          <w:sz w:val="18"/>
          <w:szCs w:val="18"/>
        </w:rPr>
        <w:fldChar w:fldCharType="end"/>
      </w:r>
      <w:r>
        <w:rPr>
          <w:rFonts w:hint="eastAsia" w:ascii="宋体" w:hAnsi="宋体" w:eastAsia="宋体" w:cs="宋体"/>
          <w:b/>
          <w:bCs/>
          <w:sz w:val="18"/>
          <w:szCs w:val="18"/>
        </w:rPr>
        <w:t>、山西、内蒙古）；西北地区（包括宁夏、</w:t>
      </w:r>
      <w:r>
        <w:rPr>
          <w:rFonts w:hint="eastAsia" w:ascii="宋体" w:hAnsi="宋体" w:eastAsia="宋体" w:cs="宋体"/>
          <w:b/>
          <w:bCs/>
          <w:sz w:val="18"/>
          <w:szCs w:val="18"/>
        </w:rPr>
        <w:fldChar w:fldCharType="begin"/>
      </w:r>
      <w:r>
        <w:rPr>
          <w:rFonts w:hint="eastAsia" w:ascii="宋体" w:hAnsi="宋体" w:eastAsia="宋体" w:cs="宋体"/>
          <w:b/>
          <w:bCs/>
          <w:sz w:val="18"/>
          <w:szCs w:val="18"/>
        </w:rPr>
        <w:instrText xml:space="preserve"> HYPERLINK "http://www.so.com/s?q=%E6%96%B0%E7%96%86&amp;amp;ie=utf-8&amp;amp;src=internal_wenda_recommend_textn" \h </w:instrText>
      </w:r>
      <w:r>
        <w:rPr>
          <w:rFonts w:hint="eastAsia" w:ascii="宋体" w:hAnsi="宋体" w:eastAsia="宋体" w:cs="宋体"/>
          <w:b/>
          <w:bCs/>
          <w:sz w:val="18"/>
          <w:szCs w:val="18"/>
        </w:rPr>
        <w:fldChar w:fldCharType="separate"/>
      </w:r>
      <w:r>
        <w:rPr>
          <w:rFonts w:hint="eastAsia" w:ascii="宋体" w:hAnsi="宋体" w:eastAsia="宋体" w:cs="宋体"/>
          <w:b/>
          <w:bCs/>
          <w:sz w:val="18"/>
          <w:szCs w:val="18"/>
        </w:rPr>
        <w:t>新疆</w:t>
      </w:r>
      <w:r>
        <w:rPr>
          <w:rFonts w:hint="eastAsia" w:ascii="宋体" w:hAnsi="宋体" w:eastAsia="宋体" w:cs="宋体"/>
          <w:b/>
          <w:bCs/>
          <w:sz w:val="18"/>
          <w:szCs w:val="18"/>
        </w:rPr>
        <w:fldChar w:fldCharType="end"/>
      </w:r>
      <w:r>
        <w:rPr>
          <w:rFonts w:hint="eastAsia" w:ascii="宋体" w:hAnsi="宋体" w:eastAsia="宋体" w:cs="宋体"/>
          <w:b/>
          <w:bCs/>
          <w:sz w:val="18"/>
          <w:szCs w:val="18"/>
        </w:rPr>
        <w:t>、青海、陕西、甘肃）；西南地区（包括四川、云南、贵州、西藏、重庆）；东北地区（包括辽宁、吉林、黑龙江）；台港澳地区（包括台湾、香港、澳门）。</w:t>
      </w:r>
    </w:p>
  </w:footnote>
  <w:footnote w:id="10">
    <w:p>
      <w:pPr>
        <w:keepNext w:val="0"/>
        <w:keepLines w:val="0"/>
        <w:pageBreakBefore w:val="0"/>
        <w:widowControl w:val="0"/>
        <w:kinsoku/>
        <w:wordWrap/>
        <w:overflowPunct/>
        <w:topLinePunct w:val="0"/>
        <w:autoSpaceDE/>
        <w:autoSpaceDN/>
        <w:bidi w:val="0"/>
        <w:adjustRightInd/>
        <w:snapToGrid/>
        <w:spacing w:before="95" w:line="240" w:lineRule="auto"/>
        <w:ind w:right="0"/>
        <w:jc w:val="left"/>
        <w:textAlignment w:val="auto"/>
      </w:pPr>
      <w:r>
        <w:rPr>
          <w:rStyle w:val="24"/>
        </w:rPr>
        <w:footnoteRef/>
      </w:r>
      <w:r>
        <w:t xml:space="preserve"> </w:t>
      </w:r>
      <w:r>
        <w:rPr>
          <w:b/>
          <w:bCs/>
          <w:sz w:val="18"/>
        </w:rPr>
        <w:t>计划单列市：大连市</w:t>
      </w:r>
      <w:r>
        <w:rPr>
          <w:rFonts w:ascii="Times New Roman" w:eastAsia="Times New Roman"/>
          <w:b/>
          <w:bCs/>
          <w:sz w:val="18"/>
        </w:rPr>
        <w:t xml:space="preserve">(1984 </w:t>
      </w:r>
      <w:r>
        <w:rPr>
          <w:b/>
          <w:bCs/>
          <w:sz w:val="18"/>
        </w:rPr>
        <w:t xml:space="preserve">年 </w:t>
      </w:r>
      <w:r>
        <w:rPr>
          <w:rFonts w:ascii="Times New Roman" w:eastAsia="Times New Roman"/>
          <w:b/>
          <w:bCs/>
          <w:sz w:val="18"/>
        </w:rPr>
        <w:t xml:space="preserve">7 </w:t>
      </w:r>
      <w:r>
        <w:rPr>
          <w:b/>
          <w:bCs/>
          <w:sz w:val="18"/>
        </w:rPr>
        <w:t xml:space="preserve">月 </w:t>
      </w:r>
      <w:r>
        <w:rPr>
          <w:rFonts w:ascii="Times New Roman" w:eastAsia="Times New Roman"/>
          <w:b/>
          <w:bCs/>
          <w:sz w:val="18"/>
        </w:rPr>
        <w:t xml:space="preserve">18 </w:t>
      </w:r>
      <w:r>
        <w:rPr>
          <w:b/>
          <w:bCs/>
          <w:sz w:val="18"/>
        </w:rPr>
        <w:t>日批准</w:t>
      </w:r>
      <w:r>
        <w:rPr>
          <w:rFonts w:ascii="Times New Roman" w:eastAsia="Times New Roman"/>
          <w:b/>
          <w:bCs/>
          <w:sz w:val="18"/>
        </w:rPr>
        <w:t>)</w:t>
      </w:r>
      <w:r>
        <w:rPr>
          <w:rFonts w:hint="eastAsia"/>
          <w:b/>
          <w:bCs/>
          <w:sz w:val="18"/>
          <w:lang w:eastAsia="zh-CN"/>
        </w:rPr>
        <w:t>、</w:t>
      </w:r>
      <w:r>
        <w:rPr>
          <w:b/>
          <w:bCs/>
          <w:sz w:val="18"/>
        </w:rPr>
        <w:t>青岛市</w:t>
      </w:r>
      <w:r>
        <w:rPr>
          <w:rFonts w:ascii="Times New Roman" w:eastAsia="Times New Roman"/>
          <w:b/>
          <w:bCs/>
          <w:sz w:val="18"/>
        </w:rPr>
        <w:t xml:space="preserve">(1986 </w:t>
      </w:r>
      <w:r>
        <w:rPr>
          <w:b/>
          <w:bCs/>
          <w:sz w:val="18"/>
        </w:rPr>
        <w:t xml:space="preserve">年 </w:t>
      </w:r>
      <w:r>
        <w:rPr>
          <w:rFonts w:ascii="Times New Roman" w:eastAsia="Times New Roman"/>
          <w:b/>
          <w:bCs/>
          <w:sz w:val="18"/>
        </w:rPr>
        <w:t xml:space="preserve">10 </w:t>
      </w:r>
      <w:r>
        <w:rPr>
          <w:b/>
          <w:bCs/>
          <w:sz w:val="18"/>
        </w:rPr>
        <w:t xml:space="preserve">月 </w:t>
      </w:r>
      <w:r>
        <w:rPr>
          <w:rFonts w:ascii="Times New Roman" w:eastAsia="Times New Roman"/>
          <w:b/>
          <w:bCs/>
          <w:sz w:val="18"/>
        </w:rPr>
        <w:t xml:space="preserve">15 </w:t>
      </w:r>
      <w:r>
        <w:rPr>
          <w:b/>
          <w:bCs/>
          <w:sz w:val="18"/>
        </w:rPr>
        <w:t>日批准</w:t>
      </w:r>
      <w:r>
        <w:rPr>
          <w:rFonts w:ascii="Times New Roman" w:eastAsia="Times New Roman"/>
          <w:b/>
          <w:bCs/>
          <w:sz w:val="18"/>
        </w:rPr>
        <w:t>)</w:t>
      </w:r>
      <w:r>
        <w:rPr>
          <w:rFonts w:hint="eastAsia"/>
          <w:b/>
          <w:bCs/>
          <w:sz w:val="18"/>
          <w:lang w:eastAsia="zh-CN"/>
        </w:rPr>
        <w:t>、</w:t>
      </w:r>
      <w:r>
        <w:rPr>
          <w:b/>
          <w:bCs/>
          <w:sz w:val="18"/>
        </w:rPr>
        <w:t>宁波市</w:t>
      </w:r>
      <w:r>
        <w:rPr>
          <w:rFonts w:ascii="Times New Roman" w:eastAsia="Times New Roman"/>
          <w:b/>
          <w:bCs/>
          <w:sz w:val="18"/>
        </w:rPr>
        <w:t xml:space="preserve">(1987 </w:t>
      </w:r>
      <w:r>
        <w:rPr>
          <w:b/>
          <w:bCs/>
          <w:sz w:val="18"/>
        </w:rPr>
        <w:t xml:space="preserve">年 </w:t>
      </w:r>
      <w:r>
        <w:rPr>
          <w:rFonts w:ascii="Times New Roman" w:eastAsia="Times New Roman"/>
          <w:b/>
          <w:bCs/>
          <w:sz w:val="18"/>
        </w:rPr>
        <w:t xml:space="preserve">2 </w:t>
      </w:r>
      <w:r>
        <w:rPr>
          <w:b/>
          <w:bCs/>
          <w:sz w:val="18"/>
        </w:rPr>
        <w:t xml:space="preserve">月 </w:t>
      </w:r>
      <w:r>
        <w:rPr>
          <w:rFonts w:ascii="Times New Roman" w:eastAsia="Times New Roman"/>
          <w:b/>
          <w:bCs/>
          <w:sz w:val="18"/>
        </w:rPr>
        <w:t xml:space="preserve">24 </w:t>
      </w:r>
      <w:r>
        <w:rPr>
          <w:b/>
          <w:bCs/>
          <w:sz w:val="18"/>
        </w:rPr>
        <w:t>日批准</w:t>
      </w:r>
      <w:r>
        <w:rPr>
          <w:rFonts w:ascii="Times New Roman" w:eastAsia="Times New Roman"/>
          <w:b/>
          <w:bCs/>
          <w:sz w:val="18"/>
        </w:rPr>
        <w:t>)</w:t>
      </w:r>
      <w:r>
        <w:rPr>
          <w:rFonts w:hint="eastAsia"/>
          <w:b/>
          <w:bCs/>
          <w:sz w:val="18"/>
          <w:lang w:eastAsia="zh-CN"/>
        </w:rPr>
        <w:t>、</w:t>
      </w:r>
      <w:r>
        <w:rPr>
          <w:b/>
          <w:bCs/>
          <w:sz w:val="18"/>
        </w:rPr>
        <w:t>厦门市</w:t>
      </w:r>
      <w:r>
        <w:rPr>
          <w:rFonts w:ascii="Times New Roman" w:eastAsia="Times New Roman"/>
          <w:b/>
          <w:bCs/>
          <w:sz w:val="18"/>
        </w:rPr>
        <w:t xml:space="preserve">(1988 </w:t>
      </w:r>
      <w:r>
        <w:rPr>
          <w:b/>
          <w:bCs/>
          <w:sz w:val="18"/>
        </w:rPr>
        <w:t xml:space="preserve">年 </w:t>
      </w:r>
      <w:r>
        <w:rPr>
          <w:rFonts w:ascii="Times New Roman" w:eastAsia="Times New Roman"/>
          <w:b/>
          <w:bCs/>
          <w:sz w:val="18"/>
        </w:rPr>
        <w:t xml:space="preserve">4 </w:t>
      </w:r>
      <w:r>
        <w:rPr>
          <w:b/>
          <w:bCs/>
          <w:sz w:val="18"/>
        </w:rPr>
        <w:t xml:space="preserve">月 </w:t>
      </w:r>
      <w:r>
        <w:rPr>
          <w:rFonts w:ascii="Times New Roman" w:eastAsia="Times New Roman"/>
          <w:b/>
          <w:bCs/>
          <w:sz w:val="18"/>
        </w:rPr>
        <w:t xml:space="preserve">18 </w:t>
      </w:r>
      <w:r>
        <w:rPr>
          <w:b/>
          <w:bCs/>
          <w:sz w:val="18"/>
        </w:rPr>
        <w:t>日批准</w:t>
      </w:r>
      <w:r>
        <w:rPr>
          <w:rFonts w:ascii="Times New Roman" w:eastAsia="Times New Roman"/>
          <w:b/>
          <w:bCs/>
          <w:sz w:val="18"/>
        </w:rPr>
        <w:t>)</w:t>
      </w:r>
      <w:r>
        <w:rPr>
          <w:rFonts w:hint="eastAsia"/>
          <w:b/>
          <w:bCs/>
          <w:sz w:val="18"/>
          <w:lang w:eastAsia="zh-CN"/>
        </w:rPr>
        <w:t>、</w:t>
      </w:r>
      <w:r>
        <w:rPr>
          <w:b/>
          <w:bCs/>
          <w:sz w:val="18"/>
        </w:rPr>
        <w:t>深圳市</w:t>
      </w:r>
      <w:r>
        <w:rPr>
          <w:rFonts w:ascii="Times New Roman" w:eastAsia="Times New Roman"/>
          <w:b/>
          <w:bCs/>
          <w:sz w:val="18"/>
        </w:rPr>
        <w:t xml:space="preserve">(1988 </w:t>
      </w:r>
      <w:r>
        <w:rPr>
          <w:b/>
          <w:bCs/>
          <w:sz w:val="18"/>
        </w:rPr>
        <w:t xml:space="preserve">年 </w:t>
      </w:r>
      <w:r>
        <w:rPr>
          <w:rFonts w:ascii="Times New Roman" w:eastAsia="Times New Roman"/>
          <w:b/>
          <w:bCs/>
          <w:sz w:val="18"/>
        </w:rPr>
        <w:t xml:space="preserve">10 </w:t>
      </w:r>
      <w:r>
        <w:rPr>
          <w:b/>
          <w:bCs/>
          <w:sz w:val="18"/>
        </w:rPr>
        <w:t xml:space="preserve">月 </w:t>
      </w:r>
      <w:r>
        <w:rPr>
          <w:rFonts w:ascii="Times New Roman" w:eastAsia="Times New Roman"/>
          <w:b/>
          <w:bCs/>
          <w:sz w:val="18"/>
        </w:rPr>
        <w:t xml:space="preserve">3 </w:t>
      </w:r>
      <w:r>
        <w:rPr>
          <w:b/>
          <w:bCs/>
          <w:sz w:val="18"/>
        </w:rPr>
        <w:t>日批准</w:t>
      </w:r>
      <w:r>
        <w:rPr>
          <w:rFonts w:ascii="Times New Roman" w:eastAsia="Times New Roman"/>
          <w:b/>
          <w:bCs/>
          <w:sz w:val="18"/>
        </w:rPr>
        <w:t>)</w:t>
      </w:r>
    </w:p>
  </w:footnote>
  <w:footnote w:id="11">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pPr>
      <w:r>
        <w:rPr>
          <w:rStyle w:val="24"/>
        </w:rPr>
        <w:footnoteRef/>
      </w:r>
      <w:r>
        <w:t xml:space="preserve"> </w:t>
      </w:r>
      <w:r>
        <w:rPr>
          <w:rFonts w:hint="eastAsia" w:ascii="宋体" w:hAnsi="宋体" w:cs="宋体"/>
          <w:b/>
          <w:sz w:val="18"/>
          <w:szCs w:val="18"/>
        </w:rPr>
        <w:t>城市规模由《第一财经周刊》评选，是根据一系列的经济、政治和学术资源等指标综合评比后，划分的名单。</w:t>
      </w:r>
    </w:p>
  </w:footnote>
  <w:footnote w:id="12">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eastAsia="宋体"/>
          <w:b/>
          <w:bCs/>
          <w:lang w:val="en-US" w:eastAsia="zh-CN"/>
        </w:rPr>
      </w:pPr>
      <w:r>
        <w:rPr>
          <w:rStyle w:val="24"/>
          <w:b/>
          <w:bCs/>
        </w:rPr>
        <w:footnoteRef/>
      </w:r>
      <w:r>
        <w:rPr>
          <w:b/>
          <w:bCs/>
        </w:rPr>
        <w:t xml:space="preserve"> </w:t>
      </w:r>
      <w:r>
        <w:rPr>
          <w:rFonts w:hint="eastAsia"/>
          <w:b/>
          <w:bCs/>
          <w:lang w:val="en-US" w:eastAsia="zh-CN"/>
        </w:rPr>
        <w:t>人才回报是指毕业生毕业之后留在院校所在地就业。</w:t>
      </w:r>
    </w:p>
  </w:footnote>
  <w:footnote w:id="13">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eastAsia="宋体"/>
          <w:b/>
          <w:bCs/>
          <w:lang w:val="en-US" w:eastAsia="zh-CN"/>
        </w:rPr>
      </w:pPr>
      <w:r>
        <w:rPr>
          <w:rStyle w:val="24"/>
          <w:b/>
          <w:bCs/>
        </w:rPr>
        <w:footnoteRef/>
      </w:r>
      <w:r>
        <w:rPr>
          <w:b/>
          <w:bCs/>
        </w:rPr>
        <w:t xml:space="preserve"> </w:t>
      </w:r>
      <w:r>
        <w:rPr>
          <w:rFonts w:hint="eastAsia"/>
          <w:b/>
          <w:bCs/>
          <w:lang w:val="en-US" w:eastAsia="zh-CN"/>
        </w:rPr>
        <w:t>单位所在地没有维护到具体区县，故将合肥市作为一个独立的统计单位。</w:t>
      </w:r>
    </w:p>
  </w:footnote>
  <w:footnote w:id="14">
    <w:p>
      <w:pPr>
        <w:pStyle w:val="13"/>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eastAsia="宋体"/>
          <w:b/>
          <w:bCs/>
          <w:lang w:val="en-US" w:eastAsia="zh-CN"/>
        </w:rPr>
      </w:pPr>
      <w:r>
        <w:rPr>
          <w:rStyle w:val="24"/>
          <w:b/>
          <w:bCs/>
        </w:rPr>
        <w:footnoteRef/>
      </w:r>
      <w:r>
        <w:rPr>
          <w:b/>
          <w:bCs/>
        </w:rPr>
        <w:t xml:space="preserve"> </w:t>
      </w:r>
      <w:r>
        <w:rPr>
          <w:rFonts w:hint="eastAsia"/>
          <w:b/>
          <w:bCs/>
          <w:lang w:val="en-US" w:eastAsia="zh-CN"/>
        </w:rPr>
        <w:t>毕业生回流是指毕业生毕业后回到自己的生源所在地就业。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1028065</wp:posOffset>
              </wp:positionH>
              <wp:positionV relativeFrom="page">
                <wp:posOffset>730250</wp:posOffset>
              </wp:positionV>
              <wp:extent cx="5459095" cy="635"/>
              <wp:effectExtent l="0" t="4445" r="8255" b="8890"/>
              <wp:wrapNone/>
              <wp:docPr id="1" name="直线 1067"/>
              <wp:cNvGraphicFramePr/>
              <a:graphic xmlns:a="http://schemas.openxmlformats.org/drawingml/2006/main">
                <a:graphicData uri="http://schemas.microsoft.com/office/word/2010/wordprocessingShape">
                  <wps:wsp>
                    <wps:cNvCnPr/>
                    <wps:spPr>
                      <a:xfrm>
                        <a:off x="0" y="0"/>
                        <a:ext cx="5459095" cy="635"/>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67" o:spid="_x0000_s1026" o:spt="20" style="position:absolute;left:0pt;margin-left:80.95pt;margin-top:57.5pt;height:0.05pt;width:429.85pt;mso-position-horizontal-relative:page;mso-position-vertical-relative:page;z-index:-251657216;mso-width-relative:page;mso-height-relative:page;" filled="f" stroked="t" coordsize="21600,21600" o:gfxdata="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pP&#10;c4nWAAAADAEAAA8AAAAAAAAAAQAgAAAAIgAAAGRycy9kb3ducmV2LnhtbFBLAQIUABQAAAAIAIdO&#10;4kBWqDrF7AEAAOADAAAOAAAAAAAAAAEAIAAAACU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927100</wp:posOffset>
              </wp:positionH>
              <wp:positionV relativeFrom="page">
                <wp:posOffset>542925</wp:posOffset>
              </wp:positionV>
              <wp:extent cx="5721985" cy="172720"/>
              <wp:effectExtent l="0" t="0" r="0" b="0"/>
              <wp:wrapNone/>
              <wp:docPr id="2" name="文本框 1068"/>
              <wp:cNvGraphicFramePr/>
              <a:graphic xmlns:a="http://schemas.openxmlformats.org/drawingml/2006/main">
                <a:graphicData uri="http://schemas.microsoft.com/office/word/2010/wordprocessingShape">
                  <wps:wsp>
                    <wps:cNvSpPr txBox="1"/>
                    <wps:spPr>
                      <a:xfrm>
                        <a:off x="0" y="0"/>
                        <a:ext cx="5721985" cy="17272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spacing w:val="-9"/>
                              <w:sz w:val="18"/>
                              <w:szCs w:val="18"/>
                              <w:lang w:eastAsia="zh-Hans"/>
                            </w:rPr>
                          </w:pPr>
                          <w:r>
                            <w:rPr>
                              <w:rFonts w:hint="eastAsia" w:ascii="微软雅黑" w:hAnsi="微软雅黑" w:eastAsia="微软雅黑" w:cs="微软雅黑"/>
                              <w:spacing w:val="-9"/>
                              <w:sz w:val="18"/>
                              <w:szCs w:val="18"/>
                              <w:lang w:val="en-US" w:eastAsia="zh-CN"/>
                            </w:rPr>
                            <w:t>安徽艺术职业学院</w:t>
                          </w:r>
                          <w:r>
                            <w:rPr>
                              <w:rFonts w:hint="eastAsia" w:ascii="微软雅黑" w:hAnsi="微软雅黑" w:eastAsia="微软雅黑" w:cs="微软雅黑"/>
                              <w:spacing w:val="-9"/>
                              <w:sz w:val="18"/>
                              <w:szCs w:val="18"/>
                              <w:lang w:eastAsia="zh-Hans"/>
                            </w:rPr>
                            <w:t>202</w:t>
                          </w:r>
                          <w:r>
                            <w:rPr>
                              <w:rFonts w:hint="eastAsia" w:ascii="微软雅黑" w:hAnsi="微软雅黑" w:eastAsia="微软雅黑" w:cs="微软雅黑"/>
                              <w:spacing w:val="-9"/>
                              <w:sz w:val="18"/>
                              <w:szCs w:val="18"/>
                              <w:lang w:val="en-US" w:eastAsia="zh-CN"/>
                            </w:rPr>
                            <w:t>2</w:t>
                          </w:r>
                          <w:r>
                            <w:rPr>
                              <w:rFonts w:hint="eastAsia" w:ascii="微软雅黑" w:hAnsi="微软雅黑" w:eastAsia="微软雅黑" w:cs="微软雅黑"/>
                              <w:spacing w:val="-9"/>
                              <w:sz w:val="18"/>
                              <w:szCs w:val="18"/>
                              <w:lang w:eastAsia="zh-Hans"/>
                            </w:rPr>
                            <w:t>届毕业生就业质量年度报告</w:t>
                          </w:r>
                        </w:p>
                        <w:p>
                          <w:pPr>
                            <w:jc w:val="center"/>
                            <w:rPr>
                              <w:rFonts w:hint="eastAsia"/>
                            </w:rPr>
                          </w:pPr>
                        </w:p>
                      </w:txbxContent>
                    </wps:txbx>
                    <wps:bodyPr vert="horz" wrap="square" lIns="0" tIns="0" rIns="0" bIns="0" anchor="t" anchorCtr="0" upright="1"/>
                  </wps:wsp>
                </a:graphicData>
              </a:graphic>
            </wp:anchor>
          </w:drawing>
        </mc:Choice>
        <mc:Fallback>
          <w:pict>
            <v:shape id="文本框 1068" o:spid="_x0000_s1026" o:spt="202" type="#_x0000_t202" style="position:absolute;left:0pt;margin-left:73pt;margin-top:42.75pt;height:13.6pt;width:450.55pt;mso-position-horizontal-relative:page;mso-position-vertical-relative:page;z-index:-251656192;mso-width-relative:page;mso-height-relative:page;" filled="f" stroked="f" coordsize="21600,21600" o:gfxdata="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ruYGNoAAAALAQAA&#10;DwAAAAAAAAABACAAAAAiAAAAZHJzL2Rvd25yZXYueG1sUEsBAhQAFAAAAAgAh07iQLIYKWPeAQAA&#10;qAMAAA4AAAAAAAAAAQAgAAAAKQEAAGRycy9lMm9Eb2MueG1sUEsFBgAAAAAGAAYAWQEAAHkFAAAA&#10;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eastAsia="微软雅黑" w:cs="微软雅黑"/>
                        <w:spacing w:val="-9"/>
                        <w:sz w:val="18"/>
                        <w:szCs w:val="18"/>
                        <w:lang w:eastAsia="zh-Hans"/>
                      </w:rPr>
                    </w:pPr>
                    <w:r>
                      <w:rPr>
                        <w:rFonts w:hint="eastAsia" w:ascii="微软雅黑" w:hAnsi="微软雅黑" w:eastAsia="微软雅黑" w:cs="微软雅黑"/>
                        <w:spacing w:val="-9"/>
                        <w:sz w:val="18"/>
                        <w:szCs w:val="18"/>
                        <w:lang w:val="en-US" w:eastAsia="zh-CN"/>
                      </w:rPr>
                      <w:t>安徽艺术职业学院</w:t>
                    </w:r>
                    <w:r>
                      <w:rPr>
                        <w:rFonts w:hint="eastAsia" w:ascii="微软雅黑" w:hAnsi="微软雅黑" w:eastAsia="微软雅黑" w:cs="微软雅黑"/>
                        <w:spacing w:val="-9"/>
                        <w:sz w:val="18"/>
                        <w:szCs w:val="18"/>
                        <w:lang w:eastAsia="zh-Hans"/>
                      </w:rPr>
                      <w:t>202</w:t>
                    </w:r>
                    <w:r>
                      <w:rPr>
                        <w:rFonts w:hint="eastAsia" w:ascii="微软雅黑" w:hAnsi="微软雅黑" w:eastAsia="微软雅黑" w:cs="微软雅黑"/>
                        <w:spacing w:val="-9"/>
                        <w:sz w:val="18"/>
                        <w:szCs w:val="18"/>
                        <w:lang w:val="en-US" w:eastAsia="zh-CN"/>
                      </w:rPr>
                      <w:t>2</w:t>
                    </w:r>
                    <w:r>
                      <w:rPr>
                        <w:rFonts w:hint="eastAsia" w:ascii="微软雅黑" w:hAnsi="微软雅黑" w:eastAsia="微软雅黑" w:cs="微软雅黑"/>
                        <w:spacing w:val="-9"/>
                        <w:sz w:val="18"/>
                        <w:szCs w:val="18"/>
                        <w:lang w:eastAsia="zh-Hans"/>
                      </w:rPr>
                      <w:t>届毕业生就业质量年度报告</w:t>
                    </w:r>
                  </w:p>
                  <w:p>
                    <w:pPr>
                      <w:jc w:val="center"/>
                      <w:rPr>
                        <w:rFonts w:hint="eastAsia"/>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3D4D6"/>
    <w:multiLevelType w:val="singleLevel"/>
    <w:tmpl w:val="8033D4D6"/>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1">
    <w:nsid w:val="B1508AEF"/>
    <w:multiLevelType w:val="singleLevel"/>
    <w:tmpl w:val="B1508AEF"/>
    <w:lvl w:ilvl="0" w:tentative="0">
      <w:start w:val="1"/>
      <w:numFmt w:val="decimal"/>
      <w:suff w:val="nothing"/>
      <w:lvlText w:val="(%1)"/>
      <w:lvlJc w:val="left"/>
      <w:pPr>
        <w:ind w:left="845" w:hanging="425"/>
      </w:pPr>
      <w:rPr>
        <w:rFonts w:hint="default" w:ascii="宋体" w:hAnsi="宋体" w:eastAsia="宋体" w:cs="宋体"/>
        <w:sz w:val="28"/>
        <w:szCs w:val="28"/>
      </w:rPr>
    </w:lvl>
  </w:abstractNum>
  <w:abstractNum w:abstractNumId="2">
    <w:nsid w:val="BB503741"/>
    <w:multiLevelType w:val="singleLevel"/>
    <w:tmpl w:val="BB503741"/>
    <w:lvl w:ilvl="0" w:tentative="0">
      <w:start w:val="1"/>
      <w:numFmt w:val="decimal"/>
      <w:suff w:val="nothing"/>
      <w:lvlText w:val="(%1)"/>
      <w:lvlJc w:val="left"/>
      <w:pPr>
        <w:ind w:left="845" w:hanging="425"/>
      </w:pPr>
      <w:rPr>
        <w:rFonts w:hint="default" w:ascii="宋体" w:hAnsi="宋体" w:eastAsia="宋体" w:cs="宋体"/>
        <w:sz w:val="28"/>
        <w:szCs w:val="28"/>
      </w:rPr>
    </w:lvl>
  </w:abstractNum>
  <w:abstractNum w:abstractNumId="3">
    <w:nsid w:val="C45E41A9"/>
    <w:multiLevelType w:val="singleLevel"/>
    <w:tmpl w:val="C45E41A9"/>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4">
    <w:nsid w:val="CA9E079C"/>
    <w:multiLevelType w:val="singleLevel"/>
    <w:tmpl w:val="CA9E079C"/>
    <w:lvl w:ilvl="0" w:tentative="0">
      <w:start w:val="1"/>
      <w:numFmt w:val="chineseCounting"/>
      <w:suff w:val="nothing"/>
      <w:lvlText w:val="%1、"/>
      <w:lvlJc w:val="left"/>
      <w:rPr>
        <w:color w:val="000000"/>
        <w:sz w:val="28"/>
        <w:szCs w:val="28"/>
      </w:rPr>
    </w:lvl>
  </w:abstractNum>
  <w:abstractNum w:abstractNumId="5">
    <w:nsid w:val="CD13F68E"/>
    <w:multiLevelType w:val="singleLevel"/>
    <w:tmpl w:val="CD13F68E"/>
    <w:lvl w:ilvl="0" w:tentative="0">
      <w:start w:val="1"/>
      <w:numFmt w:val="chineseCounting"/>
      <w:suff w:val="nothing"/>
      <w:lvlText w:val="（%1）"/>
      <w:lvlJc w:val="left"/>
      <w:pPr>
        <w:ind w:left="0" w:firstLine="420"/>
      </w:pPr>
      <w:rPr>
        <w:rFonts w:hint="eastAsia" w:ascii="楷体" w:hAnsi="楷体" w:eastAsia="楷体" w:cs="楷体"/>
        <w:sz w:val="28"/>
        <w:szCs w:val="28"/>
      </w:rPr>
    </w:lvl>
  </w:abstractNum>
  <w:abstractNum w:abstractNumId="6">
    <w:nsid w:val="E4B8E16E"/>
    <w:multiLevelType w:val="singleLevel"/>
    <w:tmpl w:val="E4B8E16E"/>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7">
    <w:nsid w:val="F6F323F6"/>
    <w:multiLevelType w:val="singleLevel"/>
    <w:tmpl w:val="F6F323F6"/>
    <w:lvl w:ilvl="0" w:tentative="0">
      <w:start w:val="1"/>
      <w:numFmt w:val="decimal"/>
      <w:lvlText w:val="(%1)"/>
      <w:lvlJc w:val="left"/>
      <w:pPr>
        <w:tabs>
          <w:tab w:val="left" w:pos="420"/>
        </w:tabs>
        <w:ind w:left="425" w:hanging="425"/>
      </w:pPr>
      <w:rPr>
        <w:rFonts w:hint="default"/>
        <w:sz w:val="28"/>
      </w:rPr>
    </w:lvl>
  </w:abstractNum>
  <w:abstractNum w:abstractNumId="8">
    <w:nsid w:val="FA4BAF2C"/>
    <w:multiLevelType w:val="singleLevel"/>
    <w:tmpl w:val="FA4BAF2C"/>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9">
    <w:nsid w:val="03302FD1"/>
    <w:multiLevelType w:val="singleLevel"/>
    <w:tmpl w:val="03302FD1"/>
    <w:lvl w:ilvl="0" w:tentative="0">
      <w:start w:val="1"/>
      <w:numFmt w:val="decimal"/>
      <w:lvlText w:val="(%1)"/>
      <w:lvlJc w:val="left"/>
      <w:pPr>
        <w:tabs>
          <w:tab w:val="left" w:pos="420"/>
        </w:tabs>
        <w:ind w:left="425" w:hanging="425"/>
      </w:pPr>
      <w:rPr>
        <w:rFonts w:hint="default"/>
        <w:sz w:val="28"/>
      </w:rPr>
    </w:lvl>
  </w:abstractNum>
  <w:abstractNum w:abstractNumId="10">
    <w:nsid w:val="25720D18"/>
    <w:multiLevelType w:val="singleLevel"/>
    <w:tmpl w:val="25720D18"/>
    <w:lvl w:ilvl="0" w:tentative="0">
      <w:start w:val="1"/>
      <w:numFmt w:val="chineseCounting"/>
      <w:suff w:val="nothing"/>
      <w:lvlText w:val="%1、"/>
      <w:lvlJc w:val="left"/>
      <w:rPr>
        <w:color w:val="000000"/>
        <w:sz w:val="28"/>
        <w:szCs w:val="28"/>
      </w:rPr>
    </w:lvl>
  </w:abstractNum>
  <w:abstractNum w:abstractNumId="11">
    <w:nsid w:val="2814B9E4"/>
    <w:multiLevelType w:val="singleLevel"/>
    <w:tmpl w:val="2814B9E4"/>
    <w:lvl w:ilvl="0" w:tentative="0">
      <w:start w:val="1"/>
      <w:numFmt w:val="decimal"/>
      <w:lvlText w:val="(%1)"/>
      <w:lvlJc w:val="left"/>
      <w:pPr>
        <w:tabs>
          <w:tab w:val="left" w:pos="420"/>
        </w:tabs>
        <w:ind w:left="845" w:hanging="425"/>
      </w:pPr>
      <w:rPr>
        <w:rFonts w:hint="default" w:ascii="宋体" w:hAnsi="宋体" w:eastAsia="宋体" w:cs="宋体"/>
        <w:sz w:val="28"/>
        <w:szCs w:val="28"/>
      </w:rPr>
    </w:lvl>
  </w:abstractNum>
  <w:abstractNum w:abstractNumId="12">
    <w:nsid w:val="3909A17D"/>
    <w:multiLevelType w:val="singleLevel"/>
    <w:tmpl w:val="3909A17D"/>
    <w:lvl w:ilvl="0" w:tentative="0">
      <w:start w:val="1"/>
      <w:numFmt w:val="chineseCounting"/>
      <w:suff w:val="nothing"/>
      <w:lvlText w:val="%1、"/>
      <w:lvlJc w:val="left"/>
      <w:rPr>
        <w:color w:val="000000"/>
        <w:sz w:val="28"/>
        <w:szCs w:val="28"/>
      </w:rPr>
    </w:lvl>
  </w:abstractNum>
  <w:abstractNum w:abstractNumId="13">
    <w:nsid w:val="40E7D6BF"/>
    <w:multiLevelType w:val="singleLevel"/>
    <w:tmpl w:val="40E7D6BF"/>
    <w:lvl w:ilvl="0" w:tentative="0">
      <w:start w:val="1"/>
      <w:numFmt w:val="chineseCounting"/>
      <w:suff w:val="nothing"/>
      <w:lvlText w:val="%1、"/>
      <w:lvlJc w:val="left"/>
      <w:rPr>
        <w:color w:val="000000"/>
        <w:sz w:val="28"/>
        <w:szCs w:val="28"/>
      </w:rPr>
    </w:lvl>
  </w:abstractNum>
  <w:abstractNum w:abstractNumId="14">
    <w:nsid w:val="5A44E29D"/>
    <w:multiLevelType w:val="singleLevel"/>
    <w:tmpl w:val="5A44E29D"/>
    <w:lvl w:ilvl="0" w:tentative="0">
      <w:start w:val="1"/>
      <w:numFmt w:val="chineseCounting"/>
      <w:suff w:val="nothing"/>
      <w:lvlText w:val="%1、"/>
      <w:lvlJc w:val="left"/>
      <w:rPr>
        <w:color w:val="000000"/>
        <w:sz w:val="28"/>
        <w:szCs w:val="28"/>
      </w:rPr>
    </w:lvl>
  </w:abstractNum>
  <w:abstractNum w:abstractNumId="15">
    <w:nsid w:val="76D00792"/>
    <w:multiLevelType w:val="singleLevel"/>
    <w:tmpl w:val="76D00792"/>
    <w:lvl w:ilvl="0" w:tentative="0">
      <w:start w:val="1"/>
      <w:numFmt w:val="chineseCounting"/>
      <w:suff w:val="nothing"/>
      <w:lvlText w:val="（%1）"/>
      <w:lvlJc w:val="left"/>
      <w:pPr>
        <w:ind w:left="0" w:firstLine="420"/>
      </w:pPr>
      <w:rPr>
        <w:rFonts w:hint="eastAsia"/>
      </w:rPr>
    </w:lvl>
  </w:abstractNum>
  <w:num w:numId="1">
    <w:abstractNumId w:val="14"/>
  </w:num>
  <w:num w:numId="2">
    <w:abstractNumId w:val="15"/>
  </w:num>
  <w:num w:numId="3">
    <w:abstractNumId w:val="4"/>
  </w:num>
  <w:num w:numId="4">
    <w:abstractNumId w:val="12"/>
  </w:num>
  <w:num w:numId="5">
    <w:abstractNumId w:val="5"/>
  </w:num>
  <w:num w:numId="6">
    <w:abstractNumId w:val="10"/>
  </w:num>
  <w:num w:numId="7">
    <w:abstractNumId w:val="0"/>
  </w:num>
  <w:num w:numId="8">
    <w:abstractNumId w:val="2"/>
  </w:num>
  <w:num w:numId="9">
    <w:abstractNumId w:val="1"/>
  </w:num>
  <w:num w:numId="10">
    <w:abstractNumId w:val="11"/>
  </w:num>
  <w:num w:numId="11">
    <w:abstractNumId w:val="6"/>
  </w:num>
  <w:num w:numId="12">
    <w:abstractNumId w:val="3"/>
  </w:num>
  <w:num w:numId="13">
    <w:abstractNumId w:val="8"/>
  </w:num>
  <w:num w:numId="14">
    <w:abstractNumId w:val="1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footnote w:id="30"/>
    <w:footnote w:id="3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jNmFiM2M4Njk1MjkwY2VhYjJiOGQ3NzEyZGUwMzUifQ=="/>
  </w:docVars>
  <w:rsids>
    <w:rsidRoot w:val="00172A27"/>
    <w:rsid w:val="00012BEE"/>
    <w:rsid w:val="00017DFB"/>
    <w:rsid w:val="00024A6C"/>
    <w:rsid w:val="000264DC"/>
    <w:rsid w:val="00031663"/>
    <w:rsid w:val="00032E89"/>
    <w:rsid w:val="00043DAB"/>
    <w:rsid w:val="00051F55"/>
    <w:rsid w:val="00052BFE"/>
    <w:rsid w:val="0005777E"/>
    <w:rsid w:val="000606D0"/>
    <w:rsid w:val="00075346"/>
    <w:rsid w:val="00080624"/>
    <w:rsid w:val="00082A64"/>
    <w:rsid w:val="00082DF3"/>
    <w:rsid w:val="00087327"/>
    <w:rsid w:val="00087585"/>
    <w:rsid w:val="00097BCA"/>
    <w:rsid w:val="000C1267"/>
    <w:rsid w:val="000C6957"/>
    <w:rsid w:val="000D1B50"/>
    <w:rsid w:val="000D1DB9"/>
    <w:rsid w:val="000D3D34"/>
    <w:rsid w:val="000E42B5"/>
    <w:rsid w:val="000E4C0D"/>
    <w:rsid w:val="000E5B44"/>
    <w:rsid w:val="001003EA"/>
    <w:rsid w:val="001009B3"/>
    <w:rsid w:val="0010143F"/>
    <w:rsid w:val="001101DC"/>
    <w:rsid w:val="00110475"/>
    <w:rsid w:val="00115D17"/>
    <w:rsid w:val="0012088F"/>
    <w:rsid w:val="001223C2"/>
    <w:rsid w:val="00134A77"/>
    <w:rsid w:val="00143283"/>
    <w:rsid w:val="00143292"/>
    <w:rsid w:val="00150A99"/>
    <w:rsid w:val="001603E0"/>
    <w:rsid w:val="001605D2"/>
    <w:rsid w:val="00160A12"/>
    <w:rsid w:val="0016640D"/>
    <w:rsid w:val="0017133E"/>
    <w:rsid w:val="00172538"/>
    <w:rsid w:val="00172875"/>
    <w:rsid w:val="00174B99"/>
    <w:rsid w:val="00181B11"/>
    <w:rsid w:val="00184584"/>
    <w:rsid w:val="00187A7E"/>
    <w:rsid w:val="00190D78"/>
    <w:rsid w:val="001945E8"/>
    <w:rsid w:val="001A19A2"/>
    <w:rsid w:val="001A1CF0"/>
    <w:rsid w:val="001A2AB7"/>
    <w:rsid w:val="001A4267"/>
    <w:rsid w:val="001A54C8"/>
    <w:rsid w:val="001A59C5"/>
    <w:rsid w:val="001A718C"/>
    <w:rsid w:val="001C1AE2"/>
    <w:rsid w:val="001D40A3"/>
    <w:rsid w:val="001E1966"/>
    <w:rsid w:val="001E338C"/>
    <w:rsid w:val="001E3D87"/>
    <w:rsid w:val="001E4AAE"/>
    <w:rsid w:val="001F3F27"/>
    <w:rsid w:val="001F63FE"/>
    <w:rsid w:val="00203514"/>
    <w:rsid w:val="00206715"/>
    <w:rsid w:val="0021546A"/>
    <w:rsid w:val="00215ECD"/>
    <w:rsid w:val="002204B1"/>
    <w:rsid w:val="00221406"/>
    <w:rsid w:val="00223F34"/>
    <w:rsid w:val="002245B0"/>
    <w:rsid w:val="00226942"/>
    <w:rsid w:val="00230BF5"/>
    <w:rsid w:val="0023107A"/>
    <w:rsid w:val="00231F5C"/>
    <w:rsid w:val="00234AFE"/>
    <w:rsid w:val="002363A4"/>
    <w:rsid w:val="0024014E"/>
    <w:rsid w:val="00241864"/>
    <w:rsid w:val="002419BE"/>
    <w:rsid w:val="00242DCF"/>
    <w:rsid w:val="002439C3"/>
    <w:rsid w:val="002458C1"/>
    <w:rsid w:val="00245F7F"/>
    <w:rsid w:val="00251B29"/>
    <w:rsid w:val="002527C3"/>
    <w:rsid w:val="00252D2F"/>
    <w:rsid w:val="00257540"/>
    <w:rsid w:val="00271496"/>
    <w:rsid w:val="00281488"/>
    <w:rsid w:val="002815E1"/>
    <w:rsid w:val="0029144D"/>
    <w:rsid w:val="0029393B"/>
    <w:rsid w:val="00297A87"/>
    <w:rsid w:val="002A101A"/>
    <w:rsid w:val="002A1604"/>
    <w:rsid w:val="002A19A6"/>
    <w:rsid w:val="002A2395"/>
    <w:rsid w:val="002A5943"/>
    <w:rsid w:val="002B1171"/>
    <w:rsid w:val="002B1EEB"/>
    <w:rsid w:val="002C09A0"/>
    <w:rsid w:val="002C5037"/>
    <w:rsid w:val="002D43D9"/>
    <w:rsid w:val="002D7444"/>
    <w:rsid w:val="002E3C78"/>
    <w:rsid w:val="002E5E56"/>
    <w:rsid w:val="00310DDE"/>
    <w:rsid w:val="00314BB7"/>
    <w:rsid w:val="00315CEB"/>
    <w:rsid w:val="00317A87"/>
    <w:rsid w:val="00324C81"/>
    <w:rsid w:val="003269B8"/>
    <w:rsid w:val="0033653E"/>
    <w:rsid w:val="003371BF"/>
    <w:rsid w:val="00350753"/>
    <w:rsid w:val="003521B5"/>
    <w:rsid w:val="003568F0"/>
    <w:rsid w:val="003615D5"/>
    <w:rsid w:val="00365874"/>
    <w:rsid w:val="00366392"/>
    <w:rsid w:val="00370908"/>
    <w:rsid w:val="0037173E"/>
    <w:rsid w:val="00374C06"/>
    <w:rsid w:val="003852F2"/>
    <w:rsid w:val="0039123B"/>
    <w:rsid w:val="00391324"/>
    <w:rsid w:val="00394B92"/>
    <w:rsid w:val="003965B4"/>
    <w:rsid w:val="0039665C"/>
    <w:rsid w:val="003A56E5"/>
    <w:rsid w:val="003B1B69"/>
    <w:rsid w:val="003B2292"/>
    <w:rsid w:val="003B3109"/>
    <w:rsid w:val="003B66F8"/>
    <w:rsid w:val="003C20F9"/>
    <w:rsid w:val="003C590C"/>
    <w:rsid w:val="003C7BED"/>
    <w:rsid w:val="003D69E3"/>
    <w:rsid w:val="003E120C"/>
    <w:rsid w:val="003E3D37"/>
    <w:rsid w:val="003F46BB"/>
    <w:rsid w:val="004012DA"/>
    <w:rsid w:val="004064C9"/>
    <w:rsid w:val="00406B10"/>
    <w:rsid w:val="00415F72"/>
    <w:rsid w:val="00415FEB"/>
    <w:rsid w:val="004208BA"/>
    <w:rsid w:val="004239DC"/>
    <w:rsid w:val="00435386"/>
    <w:rsid w:val="00442A21"/>
    <w:rsid w:val="00444AF2"/>
    <w:rsid w:val="00447BEA"/>
    <w:rsid w:val="00456BD4"/>
    <w:rsid w:val="00461E2B"/>
    <w:rsid w:val="00464AA2"/>
    <w:rsid w:val="00471E2D"/>
    <w:rsid w:val="00473D40"/>
    <w:rsid w:val="00497F89"/>
    <w:rsid w:val="004A0048"/>
    <w:rsid w:val="004A1752"/>
    <w:rsid w:val="004C273B"/>
    <w:rsid w:val="004C366E"/>
    <w:rsid w:val="004C6D11"/>
    <w:rsid w:val="004D096E"/>
    <w:rsid w:val="004D0EFE"/>
    <w:rsid w:val="004D4E72"/>
    <w:rsid w:val="004E44FF"/>
    <w:rsid w:val="004F0C82"/>
    <w:rsid w:val="004F2759"/>
    <w:rsid w:val="004F6DA0"/>
    <w:rsid w:val="00503BB0"/>
    <w:rsid w:val="005156F3"/>
    <w:rsid w:val="0051658B"/>
    <w:rsid w:val="00520145"/>
    <w:rsid w:val="005226FA"/>
    <w:rsid w:val="00524680"/>
    <w:rsid w:val="00530ED7"/>
    <w:rsid w:val="005318FF"/>
    <w:rsid w:val="00536D45"/>
    <w:rsid w:val="00542FF8"/>
    <w:rsid w:val="00544012"/>
    <w:rsid w:val="005508F9"/>
    <w:rsid w:val="0057075B"/>
    <w:rsid w:val="00576018"/>
    <w:rsid w:val="00594851"/>
    <w:rsid w:val="005A06B4"/>
    <w:rsid w:val="005A16CD"/>
    <w:rsid w:val="005A2125"/>
    <w:rsid w:val="005A4391"/>
    <w:rsid w:val="005B33D2"/>
    <w:rsid w:val="005B4888"/>
    <w:rsid w:val="005C0914"/>
    <w:rsid w:val="005C14EA"/>
    <w:rsid w:val="005C2525"/>
    <w:rsid w:val="005C39C3"/>
    <w:rsid w:val="005C5004"/>
    <w:rsid w:val="005D1A3F"/>
    <w:rsid w:val="005D5690"/>
    <w:rsid w:val="005D7F07"/>
    <w:rsid w:val="005E10BF"/>
    <w:rsid w:val="005E2075"/>
    <w:rsid w:val="005E4927"/>
    <w:rsid w:val="005F1352"/>
    <w:rsid w:val="005F5CA2"/>
    <w:rsid w:val="00614ABB"/>
    <w:rsid w:val="00617434"/>
    <w:rsid w:val="00617899"/>
    <w:rsid w:val="006264F6"/>
    <w:rsid w:val="00626C79"/>
    <w:rsid w:val="0062726D"/>
    <w:rsid w:val="0062732E"/>
    <w:rsid w:val="006347DF"/>
    <w:rsid w:val="00646044"/>
    <w:rsid w:val="00650375"/>
    <w:rsid w:val="006510B3"/>
    <w:rsid w:val="00651A6B"/>
    <w:rsid w:val="006533A1"/>
    <w:rsid w:val="00653829"/>
    <w:rsid w:val="00655869"/>
    <w:rsid w:val="006737D6"/>
    <w:rsid w:val="00695A9C"/>
    <w:rsid w:val="006B0B2B"/>
    <w:rsid w:val="006B5D55"/>
    <w:rsid w:val="006B6541"/>
    <w:rsid w:val="006C0A95"/>
    <w:rsid w:val="006C4BCB"/>
    <w:rsid w:val="006D4F9B"/>
    <w:rsid w:val="006D7DD5"/>
    <w:rsid w:val="006E1045"/>
    <w:rsid w:val="006E3BAE"/>
    <w:rsid w:val="006E6A4F"/>
    <w:rsid w:val="006E6B11"/>
    <w:rsid w:val="006F3521"/>
    <w:rsid w:val="006F4ADD"/>
    <w:rsid w:val="006F514D"/>
    <w:rsid w:val="00703284"/>
    <w:rsid w:val="007033FD"/>
    <w:rsid w:val="007159D0"/>
    <w:rsid w:val="0072715D"/>
    <w:rsid w:val="00727763"/>
    <w:rsid w:val="007325E8"/>
    <w:rsid w:val="00732824"/>
    <w:rsid w:val="00733358"/>
    <w:rsid w:val="00742239"/>
    <w:rsid w:val="0074626E"/>
    <w:rsid w:val="00760749"/>
    <w:rsid w:val="00772B77"/>
    <w:rsid w:val="00772E24"/>
    <w:rsid w:val="00774C37"/>
    <w:rsid w:val="007824C7"/>
    <w:rsid w:val="00782722"/>
    <w:rsid w:val="0078704D"/>
    <w:rsid w:val="00791D3A"/>
    <w:rsid w:val="007A3233"/>
    <w:rsid w:val="007A42FB"/>
    <w:rsid w:val="007A4EDE"/>
    <w:rsid w:val="007A6393"/>
    <w:rsid w:val="007B7206"/>
    <w:rsid w:val="007B72C5"/>
    <w:rsid w:val="007C33AB"/>
    <w:rsid w:val="007C61F7"/>
    <w:rsid w:val="007D2CB8"/>
    <w:rsid w:val="007D3786"/>
    <w:rsid w:val="007E0230"/>
    <w:rsid w:val="007E2A75"/>
    <w:rsid w:val="007E4063"/>
    <w:rsid w:val="007E5157"/>
    <w:rsid w:val="007E6F09"/>
    <w:rsid w:val="007F48DC"/>
    <w:rsid w:val="007F6E1B"/>
    <w:rsid w:val="007F75B8"/>
    <w:rsid w:val="00800632"/>
    <w:rsid w:val="00811F04"/>
    <w:rsid w:val="008173D6"/>
    <w:rsid w:val="0082466D"/>
    <w:rsid w:val="008255E9"/>
    <w:rsid w:val="008260AD"/>
    <w:rsid w:val="008269F6"/>
    <w:rsid w:val="00831308"/>
    <w:rsid w:val="00833A15"/>
    <w:rsid w:val="00833D47"/>
    <w:rsid w:val="00834AFE"/>
    <w:rsid w:val="00835BC6"/>
    <w:rsid w:val="00836CCF"/>
    <w:rsid w:val="00836CE5"/>
    <w:rsid w:val="008444C7"/>
    <w:rsid w:val="00853C11"/>
    <w:rsid w:val="008646CB"/>
    <w:rsid w:val="008700BD"/>
    <w:rsid w:val="008740E0"/>
    <w:rsid w:val="008777D7"/>
    <w:rsid w:val="00881528"/>
    <w:rsid w:val="00893ED4"/>
    <w:rsid w:val="0089430F"/>
    <w:rsid w:val="008A1469"/>
    <w:rsid w:val="008A3149"/>
    <w:rsid w:val="008A365C"/>
    <w:rsid w:val="008B3B34"/>
    <w:rsid w:val="008C3014"/>
    <w:rsid w:val="008C4A09"/>
    <w:rsid w:val="008D0E6D"/>
    <w:rsid w:val="008D343C"/>
    <w:rsid w:val="008D47B6"/>
    <w:rsid w:val="008D5B53"/>
    <w:rsid w:val="008D5E6B"/>
    <w:rsid w:val="008D7D9F"/>
    <w:rsid w:val="008E0C5E"/>
    <w:rsid w:val="008E23D4"/>
    <w:rsid w:val="008E334B"/>
    <w:rsid w:val="008E3D61"/>
    <w:rsid w:val="008F0C97"/>
    <w:rsid w:val="00905213"/>
    <w:rsid w:val="009058DB"/>
    <w:rsid w:val="00906F77"/>
    <w:rsid w:val="0091408C"/>
    <w:rsid w:val="0092705B"/>
    <w:rsid w:val="0092707B"/>
    <w:rsid w:val="00945A7B"/>
    <w:rsid w:val="00945EC4"/>
    <w:rsid w:val="009474A8"/>
    <w:rsid w:val="0095238C"/>
    <w:rsid w:val="00952F50"/>
    <w:rsid w:val="0097368F"/>
    <w:rsid w:val="0098216F"/>
    <w:rsid w:val="0099315C"/>
    <w:rsid w:val="009971BA"/>
    <w:rsid w:val="009A5216"/>
    <w:rsid w:val="009A7B0D"/>
    <w:rsid w:val="009B3C88"/>
    <w:rsid w:val="009C1404"/>
    <w:rsid w:val="009C32E0"/>
    <w:rsid w:val="009C6FFB"/>
    <w:rsid w:val="009D65C6"/>
    <w:rsid w:val="009D6DE9"/>
    <w:rsid w:val="009E091F"/>
    <w:rsid w:val="009E0A84"/>
    <w:rsid w:val="009E217B"/>
    <w:rsid w:val="009F07DF"/>
    <w:rsid w:val="009F20FF"/>
    <w:rsid w:val="009F5821"/>
    <w:rsid w:val="009F5D08"/>
    <w:rsid w:val="009F739B"/>
    <w:rsid w:val="00A011C6"/>
    <w:rsid w:val="00A05461"/>
    <w:rsid w:val="00A056A0"/>
    <w:rsid w:val="00A06304"/>
    <w:rsid w:val="00A06AE0"/>
    <w:rsid w:val="00A06B51"/>
    <w:rsid w:val="00A1222A"/>
    <w:rsid w:val="00A12294"/>
    <w:rsid w:val="00A1285A"/>
    <w:rsid w:val="00A12DDC"/>
    <w:rsid w:val="00A14977"/>
    <w:rsid w:val="00A1698A"/>
    <w:rsid w:val="00A31CB1"/>
    <w:rsid w:val="00A42C1A"/>
    <w:rsid w:val="00A456ED"/>
    <w:rsid w:val="00A46625"/>
    <w:rsid w:val="00A46A00"/>
    <w:rsid w:val="00A553CE"/>
    <w:rsid w:val="00A57A43"/>
    <w:rsid w:val="00A60A33"/>
    <w:rsid w:val="00A67193"/>
    <w:rsid w:val="00A673A7"/>
    <w:rsid w:val="00A70004"/>
    <w:rsid w:val="00A776F5"/>
    <w:rsid w:val="00A81FF9"/>
    <w:rsid w:val="00A83821"/>
    <w:rsid w:val="00A930BC"/>
    <w:rsid w:val="00A95955"/>
    <w:rsid w:val="00A96929"/>
    <w:rsid w:val="00A97DF2"/>
    <w:rsid w:val="00AA0784"/>
    <w:rsid w:val="00AA096F"/>
    <w:rsid w:val="00AA4FBD"/>
    <w:rsid w:val="00AB3DAD"/>
    <w:rsid w:val="00AB6469"/>
    <w:rsid w:val="00AC2F16"/>
    <w:rsid w:val="00AD0688"/>
    <w:rsid w:val="00AD0F2D"/>
    <w:rsid w:val="00AD798C"/>
    <w:rsid w:val="00AE67AA"/>
    <w:rsid w:val="00AF35A0"/>
    <w:rsid w:val="00AF5363"/>
    <w:rsid w:val="00B12419"/>
    <w:rsid w:val="00B1315B"/>
    <w:rsid w:val="00B23CE5"/>
    <w:rsid w:val="00B24011"/>
    <w:rsid w:val="00B243A0"/>
    <w:rsid w:val="00B31CB9"/>
    <w:rsid w:val="00B32E27"/>
    <w:rsid w:val="00B458A2"/>
    <w:rsid w:val="00B51DC4"/>
    <w:rsid w:val="00B55AA4"/>
    <w:rsid w:val="00B55F43"/>
    <w:rsid w:val="00B60115"/>
    <w:rsid w:val="00B620ED"/>
    <w:rsid w:val="00B67415"/>
    <w:rsid w:val="00B77FA6"/>
    <w:rsid w:val="00B813D5"/>
    <w:rsid w:val="00B86E86"/>
    <w:rsid w:val="00B9482F"/>
    <w:rsid w:val="00BA60D1"/>
    <w:rsid w:val="00BA6146"/>
    <w:rsid w:val="00BB0557"/>
    <w:rsid w:val="00BB0844"/>
    <w:rsid w:val="00BB34DE"/>
    <w:rsid w:val="00BB436D"/>
    <w:rsid w:val="00BB5A60"/>
    <w:rsid w:val="00BB5FDE"/>
    <w:rsid w:val="00BC0CB9"/>
    <w:rsid w:val="00BC3AF8"/>
    <w:rsid w:val="00BC6735"/>
    <w:rsid w:val="00BD45FA"/>
    <w:rsid w:val="00BD4675"/>
    <w:rsid w:val="00BD6DEB"/>
    <w:rsid w:val="00BE6DC3"/>
    <w:rsid w:val="00BF1A70"/>
    <w:rsid w:val="00BF2006"/>
    <w:rsid w:val="00BF4CF7"/>
    <w:rsid w:val="00BF7414"/>
    <w:rsid w:val="00C0192B"/>
    <w:rsid w:val="00C0666F"/>
    <w:rsid w:val="00C13CC6"/>
    <w:rsid w:val="00C13E7E"/>
    <w:rsid w:val="00C13EBA"/>
    <w:rsid w:val="00C17631"/>
    <w:rsid w:val="00C177E0"/>
    <w:rsid w:val="00C23672"/>
    <w:rsid w:val="00C24CDF"/>
    <w:rsid w:val="00C33C6E"/>
    <w:rsid w:val="00C4328B"/>
    <w:rsid w:val="00C434C1"/>
    <w:rsid w:val="00C446EA"/>
    <w:rsid w:val="00C52892"/>
    <w:rsid w:val="00C52CD9"/>
    <w:rsid w:val="00C56686"/>
    <w:rsid w:val="00C66449"/>
    <w:rsid w:val="00C66BE3"/>
    <w:rsid w:val="00C677D3"/>
    <w:rsid w:val="00C755C2"/>
    <w:rsid w:val="00C768D5"/>
    <w:rsid w:val="00C77780"/>
    <w:rsid w:val="00C85D16"/>
    <w:rsid w:val="00C94ADB"/>
    <w:rsid w:val="00C95DEF"/>
    <w:rsid w:val="00C9632B"/>
    <w:rsid w:val="00CA1BC6"/>
    <w:rsid w:val="00CB1B71"/>
    <w:rsid w:val="00CB266E"/>
    <w:rsid w:val="00CB313E"/>
    <w:rsid w:val="00CB767E"/>
    <w:rsid w:val="00CC52B0"/>
    <w:rsid w:val="00CC58A8"/>
    <w:rsid w:val="00CC767D"/>
    <w:rsid w:val="00CD16A8"/>
    <w:rsid w:val="00CD4208"/>
    <w:rsid w:val="00CD5AAC"/>
    <w:rsid w:val="00CE6B82"/>
    <w:rsid w:val="00CF41D4"/>
    <w:rsid w:val="00CF5F5D"/>
    <w:rsid w:val="00D01033"/>
    <w:rsid w:val="00D017CD"/>
    <w:rsid w:val="00D06A6D"/>
    <w:rsid w:val="00D163F8"/>
    <w:rsid w:val="00D16DDD"/>
    <w:rsid w:val="00D256C9"/>
    <w:rsid w:val="00D43407"/>
    <w:rsid w:val="00D63AED"/>
    <w:rsid w:val="00D6611B"/>
    <w:rsid w:val="00D711DD"/>
    <w:rsid w:val="00D758BA"/>
    <w:rsid w:val="00D773E5"/>
    <w:rsid w:val="00D8126A"/>
    <w:rsid w:val="00D84316"/>
    <w:rsid w:val="00D9051C"/>
    <w:rsid w:val="00D92C6B"/>
    <w:rsid w:val="00D93365"/>
    <w:rsid w:val="00D93811"/>
    <w:rsid w:val="00DA3039"/>
    <w:rsid w:val="00DA642B"/>
    <w:rsid w:val="00DB1E5E"/>
    <w:rsid w:val="00DC4D16"/>
    <w:rsid w:val="00DD03EA"/>
    <w:rsid w:val="00DD5ACB"/>
    <w:rsid w:val="00DE22A8"/>
    <w:rsid w:val="00DE231D"/>
    <w:rsid w:val="00DE4C39"/>
    <w:rsid w:val="00DE4C7D"/>
    <w:rsid w:val="00DE6C74"/>
    <w:rsid w:val="00DF3845"/>
    <w:rsid w:val="00E02E08"/>
    <w:rsid w:val="00E10D8C"/>
    <w:rsid w:val="00E11876"/>
    <w:rsid w:val="00E132C1"/>
    <w:rsid w:val="00E21B8A"/>
    <w:rsid w:val="00E231E8"/>
    <w:rsid w:val="00E31F37"/>
    <w:rsid w:val="00E34C5E"/>
    <w:rsid w:val="00E44378"/>
    <w:rsid w:val="00E44388"/>
    <w:rsid w:val="00E5226C"/>
    <w:rsid w:val="00E5692D"/>
    <w:rsid w:val="00E57E1A"/>
    <w:rsid w:val="00E60EC4"/>
    <w:rsid w:val="00E61091"/>
    <w:rsid w:val="00E62413"/>
    <w:rsid w:val="00E64470"/>
    <w:rsid w:val="00E709C6"/>
    <w:rsid w:val="00E73EE6"/>
    <w:rsid w:val="00E832AF"/>
    <w:rsid w:val="00E8722C"/>
    <w:rsid w:val="00E90C15"/>
    <w:rsid w:val="00E92573"/>
    <w:rsid w:val="00E93587"/>
    <w:rsid w:val="00E94376"/>
    <w:rsid w:val="00E95046"/>
    <w:rsid w:val="00E95E2C"/>
    <w:rsid w:val="00EA519B"/>
    <w:rsid w:val="00EA5D18"/>
    <w:rsid w:val="00EA7BA0"/>
    <w:rsid w:val="00EB43D7"/>
    <w:rsid w:val="00EB70E5"/>
    <w:rsid w:val="00ED0479"/>
    <w:rsid w:val="00ED5096"/>
    <w:rsid w:val="00ED616F"/>
    <w:rsid w:val="00ED7A94"/>
    <w:rsid w:val="00EF40F2"/>
    <w:rsid w:val="00F040D1"/>
    <w:rsid w:val="00F13B27"/>
    <w:rsid w:val="00F164EC"/>
    <w:rsid w:val="00F17179"/>
    <w:rsid w:val="00F2365F"/>
    <w:rsid w:val="00F32396"/>
    <w:rsid w:val="00F3617D"/>
    <w:rsid w:val="00F4038B"/>
    <w:rsid w:val="00F41DA6"/>
    <w:rsid w:val="00F435BC"/>
    <w:rsid w:val="00F47335"/>
    <w:rsid w:val="00F516F0"/>
    <w:rsid w:val="00F61919"/>
    <w:rsid w:val="00F61DC4"/>
    <w:rsid w:val="00F64E48"/>
    <w:rsid w:val="00F64ECA"/>
    <w:rsid w:val="00F670E1"/>
    <w:rsid w:val="00F67711"/>
    <w:rsid w:val="00F72774"/>
    <w:rsid w:val="00F72D2D"/>
    <w:rsid w:val="00F750C4"/>
    <w:rsid w:val="00F871A0"/>
    <w:rsid w:val="00FB3592"/>
    <w:rsid w:val="00FB5146"/>
    <w:rsid w:val="00FB68B5"/>
    <w:rsid w:val="00FD0742"/>
    <w:rsid w:val="00FD0D8B"/>
    <w:rsid w:val="00FD19CF"/>
    <w:rsid w:val="00FD2AB0"/>
    <w:rsid w:val="00FD2FC0"/>
    <w:rsid w:val="00FD3B8A"/>
    <w:rsid w:val="00FE0B2C"/>
    <w:rsid w:val="00FE44E4"/>
    <w:rsid w:val="00FE6B4B"/>
    <w:rsid w:val="00FE6E61"/>
    <w:rsid w:val="00FE77FB"/>
    <w:rsid w:val="00FF013E"/>
    <w:rsid w:val="01136B9D"/>
    <w:rsid w:val="011C049D"/>
    <w:rsid w:val="01201991"/>
    <w:rsid w:val="01601C3A"/>
    <w:rsid w:val="0171273D"/>
    <w:rsid w:val="017B7178"/>
    <w:rsid w:val="018266A6"/>
    <w:rsid w:val="018B1379"/>
    <w:rsid w:val="01931953"/>
    <w:rsid w:val="019E19FB"/>
    <w:rsid w:val="01A455E4"/>
    <w:rsid w:val="01B81309"/>
    <w:rsid w:val="01D4479A"/>
    <w:rsid w:val="01D45AA7"/>
    <w:rsid w:val="01FB6045"/>
    <w:rsid w:val="020C37F0"/>
    <w:rsid w:val="020F7B7E"/>
    <w:rsid w:val="022C3633"/>
    <w:rsid w:val="02304278"/>
    <w:rsid w:val="023B5387"/>
    <w:rsid w:val="023C75BD"/>
    <w:rsid w:val="02476A9A"/>
    <w:rsid w:val="02573594"/>
    <w:rsid w:val="026F7E80"/>
    <w:rsid w:val="02836EAB"/>
    <w:rsid w:val="02901866"/>
    <w:rsid w:val="02921237"/>
    <w:rsid w:val="029D72FF"/>
    <w:rsid w:val="029E00FC"/>
    <w:rsid w:val="02B164B9"/>
    <w:rsid w:val="02B57D67"/>
    <w:rsid w:val="02BA27D3"/>
    <w:rsid w:val="02BA468F"/>
    <w:rsid w:val="02BF4612"/>
    <w:rsid w:val="02C1463C"/>
    <w:rsid w:val="02C53FD1"/>
    <w:rsid w:val="02D44629"/>
    <w:rsid w:val="02D57093"/>
    <w:rsid w:val="02F37D28"/>
    <w:rsid w:val="02F456F2"/>
    <w:rsid w:val="02FE19A1"/>
    <w:rsid w:val="030651AA"/>
    <w:rsid w:val="03245CC3"/>
    <w:rsid w:val="033A440C"/>
    <w:rsid w:val="033A4F9A"/>
    <w:rsid w:val="034216AB"/>
    <w:rsid w:val="035314B8"/>
    <w:rsid w:val="03537BBF"/>
    <w:rsid w:val="0371483A"/>
    <w:rsid w:val="03761731"/>
    <w:rsid w:val="037749A9"/>
    <w:rsid w:val="03C34A79"/>
    <w:rsid w:val="03D57424"/>
    <w:rsid w:val="03DC511F"/>
    <w:rsid w:val="03F04CCF"/>
    <w:rsid w:val="03F9518A"/>
    <w:rsid w:val="04056458"/>
    <w:rsid w:val="040E1F5D"/>
    <w:rsid w:val="040F5508"/>
    <w:rsid w:val="0425054C"/>
    <w:rsid w:val="0428445E"/>
    <w:rsid w:val="04332ACE"/>
    <w:rsid w:val="04352622"/>
    <w:rsid w:val="044645D5"/>
    <w:rsid w:val="04474499"/>
    <w:rsid w:val="044F0706"/>
    <w:rsid w:val="04504180"/>
    <w:rsid w:val="04666764"/>
    <w:rsid w:val="04740D67"/>
    <w:rsid w:val="048670BE"/>
    <w:rsid w:val="04A3344E"/>
    <w:rsid w:val="04AC6FAF"/>
    <w:rsid w:val="04AD5B6B"/>
    <w:rsid w:val="04B545AB"/>
    <w:rsid w:val="04EF7957"/>
    <w:rsid w:val="04F8677D"/>
    <w:rsid w:val="04FC28E6"/>
    <w:rsid w:val="04FD4BE8"/>
    <w:rsid w:val="05090E27"/>
    <w:rsid w:val="052136C5"/>
    <w:rsid w:val="05330788"/>
    <w:rsid w:val="053F23CB"/>
    <w:rsid w:val="0550640C"/>
    <w:rsid w:val="055D2428"/>
    <w:rsid w:val="05687E2D"/>
    <w:rsid w:val="05762956"/>
    <w:rsid w:val="057E29C4"/>
    <w:rsid w:val="059248E4"/>
    <w:rsid w:val="05961CF2"/>
    <w:rsid w:val="0596344D"/>
    <w:rsid w:val="05B10832"/>
    <w:rsid w:val="05BF6257"/>
    <w:rsid w:val="05C719E1"/>
    <w:rsid w:val="05D676FE"/>
    <w:rsid w:val="05E07881"/>
    <w:rsid w:val="05E866DC"/>
    <w:rsid w:val="05EF17CF"/>
    <w:rsid w:val="05F3694C"/>
    <w:rsid w:val="05F90ABF"/>
    <w:rsid w:val="060B7F8C"/>
    <w:rsid w:val="060E4972"/>
    <w:rsid w:val="06160773"/>
    <w:rsid w:val="0617200B"/>
    <w:rsid w:val="061B799E"/>
    <w:rsid w:val="062328F1"/>
    <w:rsid w:val="06252FAA"/>
    <w:rsid w:val="062E0B33"/>
    <w:rsid w:val="06443B82"/>
    <w:rsid w:val="064928CD"/>
    <w:rsid w:val="06501006"/>
    <w:rsid w:val="06507CAA"/>
    <w:rsid w:val="06565ADF"/>
    <w:rsid w:val="06620C19"/>
    <w:rsid w:val="066822E5"/>
    <w:rsid w:val="066B674C"/>
    <w:rsid w:val="06715434"/>
    <w:rsid w:val="0679732A"/>
    <w:rsid w:val="067A6EAB"/>
    <w:rsid w:val="067B36C0"/>
    <w:rsid w:val="06807F27"/>
    <w:rsid w:val="06814FC6"/>
    <w:rsid w:val="068231DE"/>
    <w:rsid w:val="06934DB2"/>
    <w:rsid w:val="069440C2"/>
    <w:rsid w:val="069F56F5"/>
    <w:rsid w:val="06A46D3E"/>
    <w:rsid w:val="06A871DF"/>
    <w:rsid w:val="06B43F71"/>
    <w:rsid w:val="06BC3F3F"/>
    <w:rsid w:val="06DD017F"/>
    <w:rsid w:val="06E42102"/>
    <w:rsid w:val="06FB4E04"/>
    <w:rsid w:val="06FD1A84"/>
    <w:rsid w:val="06FE473F"/>
    <w:rsid w:val="07035FD6"/>
    <w:rsid w:val="0707503C"/>
    <w:rsid w:val="0721046F"/>
    <w:rsid w:val="07210BE2"/>
    <w:rsid w:val="07287EF4"/>
    <w:rsid w:val="073038C0"/>
    <w:rsid w:val="07455C67"/>
    <w:rsid w:val="07522C39"/>
    <w:rsid w:val="07531690"/>
    <w:rsid w:val="075605E7"/>
    <w:rsid w:val="0758505A"/>
    <w:rsid w:val="075D3EAA"/>
    <w:rsid w:val="07741411"/>
    <w:rsid w:val="07884B14"/>
    <w:rsid w:val="078A41D9"/>
    <w:rsid w:val="078E22C9"/>
    <w:rsid w:val="07A50A9E"/>
    <w:rsid w:val="07A74C37"/>
    <w:rsid w:val="07BB4051"/>
    <w:rsid w:val="07BD70D6"/>
    <w:rsid w:val="07C8311C"/>
    <w:rsid w:val="07C97FDB"/>
    <w:rsid w:val="07D2405E"/>
    <w:rsid w:val="07E108C9"/>
    <w:rsid w:val="07E82E8C"/>
    <w:rsid w:val="07F94563"/>
    <w:rsid w:val="08250316"/>
    <w:rsid w:val="08284509"/>
    <w:rsid w:val="083806A8"/>
    <w:rsid w:val="083C0502"/>
    <w:rsid w:val="08414C84"/>
    <w:rsid w:val="0849622F"/>
    <w:rsid w:val="085439ED"/>
    <w:rsid w:val="08597DA5"/>
    <w:rsid w:val="086316A1"/>
    <w:rsid w:val="08761C81"/>
    <w:rsid w:val="08762705"/>
    <w:rsid w:val="087C6344"/>
    <w:rsid w:val="087E0FCE"/>
    <w:rsid w:val="08854364"/>
    <w:rsid w:val="08892FAD"/>
    <w:rsid w:val="08921BFB"/>
    <w:rsid w:val="089F1C5C"/>
    <w:rsid w:val="089F253C"/>
    <w:rsid w:val="08A3345D"/>
    <w:rsid w:val="08A73627"/>
    <w:rsid w:val="08A9756E"/>
    <w:rsid w:val="08AA0960"/>
    <w:rsid w:val="08B11D63"/>
    <w:rsid w:val="08BB0205"/>
    <w:rsid w:val="08C35210"/>
    <w:rsid w:val="08C5634A"/>
    <w:rsid w:val="08E02D7F"/>
    <w:rsid w:val="08E74D9E"/>
    <w:rsid w:val="08F726B4"/>
    <w:rsid w:val="0906245A"/>
    <w:rsid w:val="09097624"/>
    <w:rsid w:val="091C32AD"/>
    <w:rsid w:val="091C5E2A"/>
    <w:rsid w:val="092C7D36"/>
    <w:rsid w:val="093733E6"/>
    <w:rsid w:val="0949359E"/>
    <w:rsid w:val="094F56EC"/>
    <w:rsid w:val="095416EA"/>
    <w:rsid w:val="09577821"/>
    <w:rsid w:val="095B3A1C"/>
    <w:rsid w:val="095C3D8C"/>
    <w:rsid w:val="097C07B3"/>
    <w:rsid w:val="09855BAC"/>
    <w:rsid w:val="09935A32"/>
    <w:rsid w:val="09944AFD"/>
    <w:rsid w:val="099A2068"/>
    <w:rsid w:val="09B95DE7"/>
    <w:rsid w:val="09C07982"/>
    <w:rsid w:val="09CB445D"/>
    <w:rsid w:val="09CF2807"/>
    <w:rsid w:val="09F2400E"/>
    <w:rsid w:val="09F65A15"/>
    <w:rsid w:val="09F81994"/>
    <w:rsid w:val="0A382BE4"/>
    <w:rsid w:val="0A470F76"/>
    <w:rsid w:val="0A48315E"/>
    <w:rsid w:val="0A4D730A"/>
    <w:rsid w:val="0A555998"/>
    <w:rsid w:val="0A5E6BB3"/>
    <w:rsid w:val="0A5F3957"/>
    <w:rsid w:val="0A620F90"/>
    <w:rsid w:val="0A6635FF"/>
    <w:rsid w:val="0A7053DC"/>
    <w:rsid w:val="0A75190A"/>
    <w:rsid w:val="0A9462DE"/>
    <w:rsid w:val="0A9A25E8"/>
    <w:rsid w:val="0A9A30D0"/>
    <w:rsid w:val="0A9C2FAB"/>
    <w:rsid w:val="0AA03E80"/>
    <w:rsid w:val="0AA40835"/>
    <w:rsid w:val="0AA650B8"/>
    <w:rsid w:val="0ABB1BF0"/>
    <w:rsid w:val="0ACB046A"/>
    <w:rsid w:val="0AD72B20"/>
    <w:rsid w:val="0AD76D9C"/>
    <w:rsid w:val="0ADB154D"/>
    <w:rsid w:val="0ADC1626"/>
    <w:rsid w:val="0AE33658"/>
    <w:rsid w:val="0AE57876"/>
    <w:rsid w:val="0B0624C7"/>
    <w:rsid w:val="0B0C0B44"/>
    <w:rsid w:val="0B185258"/>
    <w:rsid w:val="0B1A49DF"/>
    <w:rsid w:val="0B317B67"/>
    <w:rsid w:val="0B377F83"/>
    <w:rsid w:val="0B3E2C01"/>
    <w:rsid w:val="0B3F434C"/>
    <w:rsid w:val="0B717DB6"/>
    <w:rsid w:val="0B736297"/>
    <w:rsid w:val="0B841A8A"/>
    <w:rsid w:val="0B8A4D31"/>
    <w:rsid w:val="0B9866A0"/>
    <w:rsid w:val="0B9C390A"/>
    <w:rsid w:val="0BA63058"/>
    <w:rsid w:val="0BB02F17"/>
    <w:rsid w:val="0BB36002"/>
    <w:rsid w:val="0BBE64A1"/>
    <w:rsid w:val="0BBF6FE4"/>
    <w:rsid w:val="0BC06E1B"/>
    <w:rsid w:val="0BD4717D"/>
    <w:rsid w:val="0BE12A98"/>
    <w:rsid w:val="0C0C7EE3"/>
    <w:rsid w:val="0C181143"/>
    <w:rsid w:val="0C242682"/>
    <w:rsid w:val="0C24610E"/>
    <w:rsid w:val="0C3C3FFF"/>
    <w:rsid w:val="0C4C20FB"/>
    <w:rsid w:val="0C4F512F"/>
    <w:rsid w:val="0C5E2244"/>
    <w:rsid w:val="0C6C6C6F"/>
    <w:rsid w:val="0C7104AC"/>
    <w:rsid w:val="0C7156BE"/>
    <w:rsid w:val="0C896381"/>
    <w:rsid w:val="0C976F11"/>
    <w:rsid w:val="0CA1678F"/>
    <w:rsid w:val="0CA87E6A"/>
    <w:rsid w:val="0CAB737E"/>
    <w:rsid w:val="0CB10577"/>
    <w:rsid w:val="0CC25C43"/>
    <w:rsid w:val="0CC413A8"/>
    <w:rsid w:val="0CCA2DD4"/>
    <w:rsid w:val="0CCC678E"/>
    <w:rsid w:val="0CD16824"/>
    <w:rsid w:val="0CD65AFB"/>
    <w:rsid w:val="0CE122F2"/>
    <w:rsid w:val="0CE4727F"/>
    <w:rsid w:val="0CE6530B"/>
    <w:rsid w:val="0CE866E8"/>
    <w:rsid w:val="0CF26A41"/>
    <w:rsid w:val="0CFD7954"/>
    <w:rsid w:val="0D0E5ED3"/>
    <w:rsid w:val="0D175471"/>
    <w:rsid w:val="0D1B7E4B"/>
    <w:rsid w:val="0D223914"/>
    <w:rsid w:val="0D2C3D66"/>
    <w:rsid w:val="0D3C2D4E"/>
    <w:rsid w:val="0D486147"/>
    <w:rsid w:val="0D4B4E12"/>
    <w:rsid w:val="0D51628C"/>
    <w:rsid w:val="0D554295"/>
    <w:rsid w:val="0D761E1D"/>
    <w:rsid w:val="0D781844"/>
    <w:rsid w:val="0D80443A"/>
    <w:rsid w:val="0D891769"/>
    <w:rsid w:val="0D986253"/>
    <w:rsid w:val="0D994044"/>
    <w:rsid w:val="0DBA5CA6"/>
    <w:rsid w:val="0DC35E69"/>
    <w:rsid w:val="0DC6608E"/>
    <w:rsid w:val="0DD218A0"/>
    <w:rsid w:val="0DDD5A57"/>
    <w:rsid w:val="0DF11E64"/>
    <w:rsid w:val="0DF753AD"/>
    <w:rsid w:val="0DFE567C"/>
    <w:rsid w:val="0E0577F1"/>
    <w:rsid w:val="0E0A1FBE"/>
    <w:rsid w:val="0E0D43DF"/>
    <w:rsid w:val="0E1B55F9"/>
    <w:rsid w:val="0E21576B"/>
    <w:rsid w:val="0E234AE7"/>
    <w:rsid w:val="0E254591"/>
    <w:rsid w:val="0E406275"/>
    <w:rsid w:val="0E4218A1"/>
    <w:rsid w:val="0E4779DC"/>
    <w:rsid w:val="0E4F575A"/>
    <w:rsid w:val="0E555EC3"/>
    <w:rsid w:val="0E6A4374"/>
    <w:rsid w:val="0E770DED"/>
    <w:rsid w:val="0E82611D"/>
    <w:rsid w:val="0E834452"/>
    <w:rsid w:val="0E9F4936"/>
    <w:rsid w:val="0EA83F18"/>
    <w:rsid w:val="0EAC2F6B"/>
    <w:rsid w:val="0EB37B57"/>
    <w:rsid w:val="0EB565DE"/>
    <w:rsid w:val="0EB578AF"/>
    <w:rsid w:val="0EC13DF5"/>
    <w:rsid w:val="0EC35CF6"/>
    <w:rsid w:val="0ECE4619"/>
    <w:rsid w:val="0ECF375F"/>
    <w:rsid w:val="0EE717B8"/>
    <w:rsid w:val="0EEC4B14"/>
    <w:rsid w:val="0EF85389"/>
    <w:rsid w:val="0F224373"/>
    <w:rsid w:val="0F2744FA"/>
    <w:rsid w:val="0F286E12"/>
    <w:rsid w:val="0F4F55CF"/>
    <w:rsid w:val="0F544EA1"/>
    <w:rsid w:val="0F5F5AED"/>
    <w:rsid w:val="0F630919"/>
    <w:rsid w:val="0F645977"/>
    <w:rsid w:val="0F655435"/>
    <w:rsid w:val="0F872136"/>
    <w:rsid w:val="0F876707"/>
    <w:rsid w:val="0F884344"/>
    <w:rsid w:val="0F9F7A48"/>
    <w:rsid w:val="0FA1544D"/>
    <w:rsid w:val="0FA55385"/>
    <w:rsid w:val="0FB3234A"/>
    <w:rsid w:val="0FB60787"/>
    <w:rsid w:val="0FBA1765"/>
    <w:rsid w:val="0FC03064"/>
    <w:rsid w:val="0FC37DCD"/>
    <w:rsid w:val="0FE36F06"/>
    <w:rsid w:val="0FED39E9"/>
    <w:rsid w:val="0FFE0633"/>
    <w:rsid w:val="10180982"/>
    <w:rsid w:val="1019197E"/>
    <w:rsid w:val="104A284E"/>
    <w:rsid w:val="1089213F"/>
    <w:rsid w:val="109F18CE"/>
    <w:rsid w:val="10B81501"/>
    <w:rsid w:val="10D162FE"/>
    <w:rsid w:val="10D9227F"/>
    <w:rsid w:val="10F74BFF"/>
    <w:rsid w:val="10FA2643"/>
    <w:rsid w:val="10FD4801"/>
    <w:rsid w:val="10FE48C5"/>
    <w:rsid w:val="11053640"/>
    <w:rsid w:val="110D10BC"/>
    <w:rsid w:val="110E435F"/>
    <w:rsid w:val="111426AA"/>
    <w:rsid w:val="11161ABE"/>
    <w:rsid w:val="111B62FD"/>
    <w:rsid w:val="111C1A14"/>
    <w:rsid w:val="11791182"/>
    <w:rsid w:val="11856B5C"/>
    <w:rsid w:val="119046C7"/>
    <w:rsid w:val="11A16F9A"/>
    <w:rsid w:val="11A72B74"/>
    <w:rsid w:val="11AE533C"/>
    <w:rsid w:val="11AF2CC5"/>
    <w:rsid w:val="11C05AD2"/>
    <w:rsid w:val="11D30C04"/>
    <w:rsid w:val="11D44386"/>
    <w:rsid w:val="11DB0CDA"/>
    <w:rsid w:val="11ED068D"/>
    <w:rsid w:val="12051AFF"/>
    <w:rsid w:val="121D230D"/>
    <w:rsid w:val="122800BA"/>
    <w:rsid w:val="12365A46"/>
    <w:rsid w:val="125B36A2"/>
    <w:rsid w:val="125F0DB1"/>
    <w:rsid w:val="12624760"/>
    <w:rsid w:val="12643CC3"/>
    <w:rsid w:val="12715409"/>
    <w:rsid w:val="12781C73"/>
    <w:rsid w:val="12817726"/>
    <w:rsid w:val="128563D5"/>
    <w:rsid w:val="12945A1D"/>
    <w:rsid w:val="129801D4"/>
    <w:rsid w:val="12AA771F"/>
    <w:rsid w:val="12B43278"/>
    <w:rsid w:val="12B8750E"/>
    <w:rsid w:val="12BC3D77"/>
    <w:rsid w:val="12BD505F"/>
    <w:rsid w:val="12BE7449"/>
    <w:rsid w:val="12D070FC"/>
    <w:rsid w:val="12D375B7"/>
    <w:rsid w:val="12D8066A"/>
    <w:rsid w:val="12DB1820"/>
    <w:rsid w:val="12E25B73"/>
    <w:rsid w:val="12FA3301"/>
    <w:rsid w:val="12FB3427"/>
    <w:rsid w:val="130059ED"/>
    <w:rsid w:val="13016044"/>
    <w:rsid w:val="130B4E1E"/>
    <w:rsid w:val="130E3B87"/>
    <w:rsid w:val="130F4807"/>
    <w:rsid w:val="13134B85"/>
    <w:rsid w:val="13147E0F"/>
    <w:rsid w:val="13155EA5"/>
    <w:rsid w:val="1316566E"/>
    <w:rsid w:val="132A5F24"/>
    <w:rsid w:val="132C7459"/>
    <w:rsid w:val="133338B6"/>
    <w:rsid w:val="13390418"/>
    <w:rsid w:val="134A70F2"/>
    <w:rsid w:val="13595D8D"/>
    <w:rsid w:val="13865A64"/>
    <w:rsid w:val="13A96B0E"/>
    <w:rsid w:val="13AB6767"/>
    <w:rsid w:val="13B628E7"/>
    <w:rsid w:val="13B9013C"/>
    <w:rsid w:val="13CB1A39"/>
    <w:rsid w:val="13DB2E2A"/>
    <w:rsid w:val="13E0340E"/>
    <w:rsid w:val="13E53341"/>
    <w:rsid w:val="13E66D5F"/>
    <w:rsid w:val="13F46D4C"/>
    <w:rsid w:val="13F70BEF"/>
    <w:rsid w:val="13FA243C"/>
    <w:rsid w:val="14312648"/>
    <w:rsid w:val="143533E4"/>
    <w:rsid w:val="143A3A7D"/>
    <w:rsid w:val="143D292E"/>
    <w:rsid w:val="144112AA"/>
    <w:rsid w:val="144C1499"/>
    <w:rsid w:val="144E729C"/>
    <w:rsid w:val="14517D7D"/>
    <w:rsid w:val="14615D57"/>
    <w:rsid w:val="14620A5E"/>
    <w:rsid w:val="146540CB"/>
    <w:rsid w:val="14696D87"/>
    <w:rsid w:val="146A1B10"/>
    <w:rsid w:val="146D7E0B"/>
    <w:rsid w:val="14874CFB"/>
    <w:rsid w:val="1493726B"/>
    <w:rsid w:val="14952165"/>
    <w:rsid w:val="14A81226"/>
    <w:rsid w:val="14BA01B2"/>
    <w:rsid w:val="14BE39EE"/>
    <w:rsid w:val="14C0237C"/>
    <w:rsid w:val="14C80EBC"/>
    <w:rsid w:val="14CC42A0"/>
    <w:rsid w:val="14CE0829"/>
    <w:rsid w:val="14D6764D"/>
    <w:rsid w:val="14D9393A"/>
    <w:rsid w:val="14EE1C7E"/>
    <w:rsid w:val="14FE317B"/>
    <w:rsid w:val="15046951"/>
    <w:rsid w:val="150D6A17"/>
    <w:rsid w:val="151E69A9"/>
    <w:rsid w:val="152363F8"/>
    <w:rsid w:val="15260BD7"/>
    <w:rsid w:val="152B51C2"/>
    <w:rsid w:val="15337E7D"/>
    <w:rsid w:val="1544421B"/>
    <w:rsid w:val="155618F4"/>
    <w:rsid w:val="157756E5"/>
    <w:rsid w:val="159416AC"/>
    <w:rsid w:val="159D72CB"/>
    <w:rsid w:val="159E0493"/>
    <w:rsid w:val="15A81E9C"/>
    <w:rsid w:val="15B76ECE"/>
    <w:rsid w:val="15C77CE0"/>
    <w:rsid w:val="15DC3A19"/>
    <w:rsid w:val="15F73B80"/>
    <w:rsid w:val="15FF4762"/>
    <w:rsid w:val="160030EC"/>
    <w:rsid w:val="16012E9E"/>
    <w:rsid w:val="16093210"/>
    <w:rsid w:val="162023FC"/>
    <w:rsid w:val="1620387A"/>
    <w:rsid w:val="162409D9"/>
    <w:rsid w:val="163748E7"/>
    <w:rsid w:val="16392C94"/>
    <w:rsid w:val="163972B0"/>
    <w:rsid w:val="16417015"/>
    <w:rsid w:val="16444A88"/>
    <w:rsid w:val="16450EB9"/>
    <w:rsid w:val="164D6E7B"/>
    <w:rsid w:val="16583804"/>
    <w:rsid w:val="16724694"/>
    <w:rsid w:val="16807893"/>
    <w:rsid w:val="16831EA9"/>
    <w:rsid w:val="168E4276"/>
    <w:rsid w:val="169F75E7"/>
    <w:rsid w:val="16A03E45"/>
    <w:rsid w:val="16AD0C7E"/>
    <w:rsid w:val="16B17451"/>
    <w:rsid w:val="16D61EA8"/>
    <w:rsid w:val="16DB088E"/>
    <w:rsid w:val="16F8366E"/>
    <w:rsid w:val="170C130F"/>
    <w:rsid w:val="17122B75"/>
    <w:rsid w:val="1727349B"/>
    <w:rsid w:val="172C535C"/>
    <w:rsid w:val="17395A47"/>
    <w:rsid w:val="176725A6"/>
    <w:rsid w:val="177546B3"/>
    <w:rsid w:val="177A3ACE"/>
    <w:rsid w:val="17817315"/>
    <w:rsid w:val="179313EF"/>
    <w:rsid w:val="179F7B9F"/>
    <w:rsid w:val="17B506B8"/>
    <w:rsid w:val="17CD0021"/>
    <w:rsid w:val="17CE7FDF"/>
    <w:rsid w:val="17DF26E8"/>
    <w:rsid w:val="17EA6D6B"/>
    <w:rsid w:val="17EC04E0"/>
    <w:rsid w:val="17F55ED6"/>
    <w:rsid w:val="18044CE9"/>
    <w:rsid w:val="18127D79"/>
    <w:rsid w:val="18174CDE"/>
    <w:rsid w:val="1825332E"/>
    <w:rsid w:val="182D18AE"/>
    <w:rsid w:val="183A4B3F"/>
    <w:rsid w:val="183E38CB"/>
    <w:rsid w:val="1846599D"/>
    <w:rsid w:val="184F3879"/>
    <w:rsid w:val="18641F19"/>
    <w:rsid w:val="18772784"/>
    <w:rsid w:val="188E6D21"/>
    <w:rsid w:val="18963D83"/>
    <w:rsid w:val="18981B94"/>
    <w:rsid w:val="189B5B36"/>
    <w:rsid w:val="18B4429A"/>
    <w:rsid w:val="18BD34C4"/>
    <w:rsid w:val="18BE3274"/>
    <w:rsid w:val="18BF424B"/>
    <w:rsid w:val="18C037BD"/>
    <w:rsid w:val="18CF2BC2"/>
    <w:rsid w:val="18DF783C"/>
    <w:rsid w:val="18E6539E"/>
    <w:rsid w:val="18EA757F"/>
    <w:rsid w:val="18EB5087"/>
    <w:rsid w:val="18FB6367"/>
    <w:rsid w:val="191410B9"/>
    <w:rsid w:val="19265A82"/>
    <w:rsid w:val="19311C12"/>
    <w:rsid w:val="19473BCA"/>
    <w:rsid w:val="195060D0"/>
    <w:rsid w:val="19516536"/>
    <w:rsid w:val="195277D2"/>
    <w:rsid w:val="1953797A"/>
    <w:rsid w:val="195C28F6"/>
    <w:rsid w:val="195F0506"/>
    <w:rsid w:val="1966529F"/>
    <w:rsid w:val="196C0B36"/>
    <w:rsid w:val="1976237B"/>
    <w:rsid w:val="197E1A9F"/>
    <w:rsid w:val="198A7293"/>
    <w:rsid w:val="199548BF"/>
    <w:rsid w:val="19A277FE"/>
    <w:rsid w:val="19A5474A"/>
    <w:rsid w:val="19A90C02"/>
    <w:rsid w:val="19AD2045"/>
    <w:rsid w:val="19AD458A"/>
    <w:rsid w:val="19B73174"/>
    <w:rsid w:val="19BE3F0C"/>
    <w:rsid w:val="19BE5CBA"/>
    <w:rsid w:val="19F22897"/>
    <w:rsid w:val="19FB7217"/>
    <w:rsid w:val="19FD77CD"/>
    <w:rsid w:val="1A0E533A"/>
    <w:rsid w:val="1A102A17"/>
    <w:rsid w:val="1A1628F9"/>
    <w:rsid w:val="1A274860"/>
    <w:rsid w:val="1A3C519A"/>
    <w:rsid w:val="1A405F82"/>
    <w:rsid w:val="1A423F37"/>
    <w:rsid w:val="1A64717D"/>
    <w:rsid w:val="1A71260F"/>
    <w:rsid w:val="1A813A1C"/>
    <w:rsid w:val="1A833338"/>
    <w:rsid w:val="1A907C64"/>
    <w:rsid w:val="1A9E336C"/>
    <w:rsid w:val="1ABD46A3"/>
    <w:rsid w:val="1AD47CAF"/>
    <w:rsid w:val="1AD616BD"/>
    <w:rsid w:val="1AD86F59"/>
    <w:rsid w:val="1AF93E34"/>
    <w:rsid w:val="1B1234C6"/>
    <w:rsid w:val="1B186CD0"/>
    <w:rsid w:val="1B1E5829"/>
    <w:rsid w:val="1B2E0ED4"/>
    <w:rsid w:val="1B354584"/>
    <w:rsid w:val="1B453032"/>
    <w:rsid w:val="1B463D76"/>
    <w:rsid w:val="1B552B29"/>
    <w:rsid w:val="1B5B0DE7"/>
    <w:rsid w:val="1B6E0A5A"/>
    <w:rsid w:val="1B78786C"/>
    <w:rsid w:val="1B8726C8"/>
    <w:rsid w:val="1B87743D"/>
    <w:rsid w:val="1B9413C8"/>
    <w:rsid w:val="1B955C9C"/>
    <w:rsid w:val="1B9758B6"/>
    <w:rsid w:val="1BA40AE4"/>
    <w:rsid w:val="1BA607D0"/>
    <w:rsid w:val="1BB47C82"/>
    <w:rsid w:val="1BB95F2F"/>
    <w:rsid w:val="1BBB6D82"/>
    <w:rsid w:val="1BDD11B0"/>
    <w:rsid w:val="1BE0009E"/>
    <w:rsid w:val="1C3A13F2"/>
    <w:rsid w:val="1C3C2BE6"/>
    <w:rsid w:val="1C424981"/>
    <w:rsid w:val="1C560684"/>
    <w:rsid w:val="1C597488"/>
    <w:rsid w:val="1C607C67"/>
    <w:rsid w:val="1C6A292D"/>
    <w:rsid w:val="1C6B70D4"/>
    <w:rsid w:val="1C734DB7"/>
    <w:rsid w:val="1C781801"/>
    <w:rsid w:val="1C8B7F01"/>
    <w:rsid w:val="1C9D3204"/>
    <w:rsid w:val="1C9F1B1E"/>
    <w:rsid w:val="1CA375B5"/>
    <w:rsid w:val="1CAC7ED4"/>
    <w:rsid w:val="1CCB3FE2"/>
    <w:rsid w:val="1CD82F51"/>
    <w:rsid w:val="1CDF601B"/>
    <w:rsid w:val="1CE15162"/>
    <w:rsid w:val="1CE23F9F"/>
    <w:rsid w:val="1CEF5ABC"/>
    <w:rsid w:val="1CF3236E"/>
    <w:rsid w:val="1CF35AB8"/>
    <w:rsid w:val="1CF36F4F"/>
    <w:rsid w:val="1D0A3CBC"/>
    <w:rsid w:val="1D0F6BBD"/>
    <w:rsid w:val="1D176E66"/>
    <w:rsid w:val="1D2073EA"/>
    <w:rsid w:val="1D316FFF"/>
    <w:rsid w:val="1D394E22"/>
    <w:rsid w:val="1D3A008B"/>
    <w:rsid w:val="1D3F0500"/>
    <w:rsid w:val="1D4D4575"/>
    <w:rsid w:val="1D5332D0"/>
    <w:rsid w:val="1D5567DC"/>
    <w:rsid w:val="1D57067B"/>
    <w:rsid w:val="1D585B61"/>
    <w:rsid w:val="1D6435E9"/>
    <w:rsid w:val="1D677E66"/>
    <w:rsid w:val="1D6A27B1"/>
    <w:rsid w:val="1D70683C"/>
    <w:rsid w:val="1D821EDC"/>
    <w:rsid w:val="1D8259F5"/>
    <w:rsid w:val="1D876788"/>
    <w:rsid w:val="1D8D4B07"/>
    <w:rsid w:val="1D9D6A6C"/>
    <w:rsid w:val="1DA24DF1"/>
    <w:rsid w:val="1DA30C3E"/>
    <w:rsid w:val="1DD06F03"/>
    <w:rsid w:val="1DD33ABD"/>
    <w:rsid w:val="1DDB39F3"/>
    <w:rsid w:val="1DDB4B06"/>
    <w:rsid w:val="1DEF498B"/>
    <w:rsid w:val="1DF0276A"/>
    <w:rsid w:val="1E056505"/>
    <w:rsid w:val="1E0E0FFF"/>
    <w:rsid w:val="1E1F2C04"/>
    <w:rsid w:val="1E2307E2"/>
    <w:rsid w:val="1E241338"/>
    <w:rsid w:val="1E2F599B"/>
    <w:rsid w:val="1E344F61"/>
    <w:rsid w:val="1E360AE8"/>
    <w:rsid w:val="1E3E4447"/>
    <w:rsid w:val="1E445F8D"/>
    <w:rsid w:val="1E491139"/>
    <w:rsid w:val="1E5E1D0F"/>
    <w:rsid w:val="1E5F0A73"/>
    <w:rsid w:val="1E617067"/>
    <w:rsid w:val="1E6230B8"/>
    <w:rsid w:val="1E692EA0"/>
    <w:rsid w:val="1E6A57DC"/>
    <w:rsid w:val="1E6D602F"/>
    <w:rsid w:val="1E7D6AAC"/>
    <w:rsid w:val="1E7E1E5D"/>
    <w:rsid w:val="1EBC18FF"/>
    <w:rsid w:val="1EBD00C9"/>
    <w:rsid w:val="1EC636E6"/>
    <w:rsid w:val="1EC64C53"/>
    <w:rsid w:val="1ECB4F0A"/>
    <w:rsid w:val="1ED21984"/>
    <w:rsid w:val="1EEC483B"/>
    <w:rsid w:val="1EEF7EF2"/>
    <w:rsid w:val="1EF06042"/>
    <w:rsid w:val="1EF806BC"/>
    <w:rsid w:val="1EFE1528"/>
    <w:rsid w:val="1F03260D"/>
    <w:rsid w:val="1F232ECF"/>
    <w:rsid w:val="1F2831DE"/>
    <w:rsid w:val="1F392784"/>
    <w:rsid w:val="1F3B0F36"/>
    <w:rsid w:val="1F4601B3"/>
    <w:rsid w:val="1F4B0357"/>
    <w:rsid w:val="1F501A2F"/>
    <w:rsid w:val="1F5C56C8"/>
    <w:rsid w:val="1F626D29"/>
    <w:rsid w:val="1F703EFB"/>
    <w:rsid w:val="1F771AAF"/>
    <w:rsid w:val="1FA905CC"/>
    <w:rsid w:val="1FAD216F"/>
    <w:rsid w:val="1FB658DB"/>
    <w:rsid w:val="1FB80C30"/>
    <w:rsid w:val="1FBA182B"/>
    <w:rsid w:val="1FC5536D"/>
    <w:rsid w:val="1FD00250"/>
    <w:rsid w:val="1FE15680"/>
    <w:rsid w:val="1FEB0F2B"/>
    <w:rsid w:val="1FFE06DD"/>
    <w:rsid w:val="1FFE2752"/>
    <w:rsid w:val="1FFF65E9"/>
    <w:rsid w:val="20020FF7"/>
    <w:rsid w:val="200309D4"/>
    <w:rsid w:val="20053A04"/>
    <w:rsid w:val="20073632"/>
    <w:rsid w:val="20105D60"/>
    <w:rsid w:val="2013507C"/>
    <w:rsid w:val="201969DA"/>
    <w:rsid w:val="20253710"/>
    <w:rsid w:val="20275480"/>
    <w:rsid w:val="203242D1"/>
    <w:rsid w:val="205806C7"/>
    <w:rsid w:val="205A1067"/>
    <w:rsid w:val="205D05BC"/>
    <w:rsid w:val="205F0ADF"/>
    <w:rsid w:val="206A4ABC"/>
    <w:rsid w:val="20863CA5"/>
    <w:rsid w:val="209024BE"/>
    <w:rsid w:val="209808F8"/>
    <w:rsid w:val="20A47BCA"/>
    <w:rsid w:val="20AC4BEB"/>
    <w:rsid w:val="20B56436"/>
    <w:rsid w:val="20C149A5"/>
    <w:rsid w:val="20C4102A"/>
    <w:rsid w:val="20C5784B"/>
    <w:rsid w:val="20D7049E"/>
    <w:rsid w:val="20E741B7"/>
    <w:rsid w:val="20ED00F5"/>
    <w:rsid w:val="20EF33B9"/>
    <w:rsid w:val="210C3B27"/>
    <w:rsid w:val="210C3C81"/>
    <w:rsid w:val="21294141"/>
    <w:rsid w:val="21327566"/>
    <w:rsid w:val="213F3339"/>
    <w:rsid w:val="213F7E18"/>
    <w:rsid w:val="21452868"/>
    <w:rsid w:val="21486CFE"/>
    <w:rsid w:val="2149459F"/>
    <w:rsid w:val="21702929"/>
    <w:rsid w:val="218F15AB"/>
    <w:rsid w:val="219E43FB"/>
    <w:rsid w:val="21A72334"/>
    <w:rsid w:val="21AD7C87"/>
    <w:rsid w:val="21C37BF3"/>
    <w:rsid w:val="21C92228"/>
    <w:rsid w:val="21CB0749"/>
    <w:rsid w:val="21EB5ABA"/>
    <w:rsid w:val="21EF4C85"/>
    <w:rsid w:val="21F51FE9"/>
    <w:rsid w:val="21F621FA"/>
    <w:rsid w:val="21F8406F"/>
    <w:rsid w:val="22030B63"/>
    <w:rsid w:val="220635B1"/>
    <w:rsid w:val="2208107F"/>
    <w:rsid w:val="22100951"/>
    <w:rsid w:val="221036C6"/>
    <w:rsid w:val="22226A41"/>
    <w:rsid w:val="22266AF2"/>
    <w:rsid w:val="22384954"/>
    <w:rsid w:val="223B2868"/>
    <w:rsid w:val="223F10DC"/>
    <w:rsid w:val="223F42E5"/>
    <w:rsid w:val="224150C1"/>
    <w:rsid w:val="224B79B0"/>
    <w:rsid w:val="22660344"/>
    <w:rsid w:val="22671B05"/>
    <w:rsid w:val="2273608E"/>
    <w:rsid w:val="2287774F"/>
    <w:rsid w:val="228D792D"/>
    <w:rsid w:val="229B06A2"/>
    <w:rsid w:val="22AA1271"/>
    <w:rsid w:val="22AF4C91"/>
    <w:rsid w:val="22C2681B"/>
    <w:rsid w:val="22CC2FBE"/>
    <w:rsid w:val="22CD4910"/>
    <w:rsid w:val="22D129AB"/>
    <w:rsid w:val="22D15CEB"/>
    <w:rsid w:val="22DC7F11"/>
    <w:rsid w:val="22DE25D7"/>
    <w:rsid w:val="22E337AC"/>
    <w:rsid w:val="22E92046"/>
    <w:rsid w:val="22EC2322"/>
    <w:rsid w:val="22FE225A"/>
    <w:rsid w:val="23002236"/>
    <w:rsid w:val="23002345"/>
    <w:rsid w:val="230203D5"/>
    <w:rsid w:val="23093517"/>
    <w:rsid w:val="230C0665"/>
    <w:rsid w:val="23243A5D"/>
    <w:rsid w:val="23306D7A"/>
    <w:rsid w:val="23560134"/>
    <w:rsid w:val="2361102E"/>
    <w:rsid w:val="23625CBB"/>
    <w:rsid w:val="23771C98"/>
    <w:rsid w:val="23991E57"/>
    <w:rsid w:val="239D28A7"/>
    <w:rsid w:val="23C61D35"/>
    <w:rsid w:val="23D62985"/>
    <w:rsid w:val="23FF3AB2"/>
    <w:rsid w:val="24053FBC"/>
    <w:rsid w:val="24157EA5"/>
    <w:rsid w:val="241E657E"/>
    <w:rsid w:val="24247CAE"/>
    <w:rsid w:val="243862F6"/>
    <w:rsid w:val="24443F92"/>
    <w:rsid w:val="24446CA5"/>
    <w:rsid w:val="24485FB5"/>
    <w:rsid w:val="245C33D1"/>
    <w:rsid w:val="245E4C38"/>
    <w:rsid w:val="245F14F0"/>
    <w:rsid w:val="246F515C"/>
    <w:rsid w:val="247C0C88"/>
    <w:rsid w:val="24827CDC"/>
    <w:rsid w:val="248B404B"/>
    <w:rsid w:val="24A805DE"/>
    <w:rsid w:val="24A84BA2"/>
    <w:rsid w:val="24B464E7"/>
    <w:rsid w:val="24BA7A64"/>
    <w:rsid w:val="24C0187E"/>
    <w:rsid w:val="24C11B0A"/>
    <w:rsid w:val="24CE2BBD"/>
    <w:rsid w:val="24DA2D09"/>
    <w:rsid w:val="24F276CC"/>
    <w:rsid w:val="251D5543"/>
    <w:rsid w:val="25243EC5"/>
    <w:rsid w:val="252601A3"/>
    <w:rsid w:val="252E65BD"/>
    <w:rsid w:val="254244AF"/>
    <w:rsid w:val="254272F2"/>
    <w:rsid w:val="25565941"/>
    <w:rsid w:val="2557301C"/>
    <w:rsid w:val="255A00E8"/>
    <w:rsid w:val="255C2B04"/>
    <w:rsid w:val="255C71D0"/>
    <w:rsid w:val="2585306E"/>
    <w:rsid w:val="258809F1"/>
    <w:rsid w:val="25A825F6"/>
    <w:rsid w:val="25A91AFB"/>
    <w:rsid w:val="25BE422B"/>
    <w:rsid w:val="25C45948"/>
    <w:rsid w:val="25F51122"/>
    <w:rsid w:val="26035955"/>
    <w:rsid w:val="260550AF"/>
    <w:rsid w:val="261370F8"/>
    <w:rsid w:val="26200414"/>
    <w:rsid w:val="26272698"/>
    <w:rsid w:val="2635788D"/>
    <w:rsid w:val="263907AA"/>
    <w:rsid w:val="26460BC3"/>
    <w:rsid w:val="26533619"/>
    <w:rsid w:val="266064DF"/>
    <w:rsid w:val="268D42B5"/>
    <w:rsid w:val="268D6602"/>
    <w:rsid w:val="268F1E8B"/>
    <w:rsid w:val="269E0E8E"/>
    <w:rsid w:val="26A37BD2"/>
    <w:rsid w:val="26A62A73"/>
    <w:rsid w:val="26B21F66"/>
    <w:rsid w:val="26B32E22"/>
    <w:rsid w:val="26C23A2B"/>
    <w:rsid w:val="26DF7DC9"/>
    <w:rsid w:val="26F2785C"/>
    <w:rsid w:val="26F613B3"/>
    <w:rsid w:val="26FD2A27"/>
    <w:rsid w:val="27174D52"/>
    <w:rsid w:val="271D0867"/>
    <w:rsid w:val="272F1B1E"/>
    <w:rsid w:val="273349EC"/>
    <w:rsid w:val="27336325"/>
    <w:rsid w:val="274C2891"/>
    <w:rsid w:val="274C5549"/>
    <w:rsid w:val="27604E08"/>
    <w:rsid w:val="27736612"/>
    <w:rsid w:val="27902AAA"/>
    <w:rsid w:val="279D50CE"/>
    <w:rsid w:val="279F0232"/>
    <w:rsid w:val="279F40AD"/>
    <w:rsid w:val="27A23F7A"/>
    <w:rsid w:val="27A85E87"/>
    <w:rsid w:val="27A9584F"/>
    <w:rsid w:val="27B64655"/>
    <w:rsid w:val="27C5553C"/>
    <w:rsid w:val="27F14918"/>
    <w:rsid w:val="28101627"/>
    <w:rsid w:val="28315956"/>
    <w:rsid w:val="28355D82"/>
    <w:rsid w:val="284675F2"/>
    <w:rsid w:val="286464E9"/>
    <w:rsid w:val="2873001E"/>
    <w:rsid w:val="28740022"/>
    <w:rsid w:val="287C7F01"/>
    <w:rsid w:val="28811C68"/>
    <w:rsid w:val="288B2D14"/>
    <w:rsid w:val="288C432A"/>
    <w:rsid w:val="289309F5"/>
    <w:rsid w:val="28A25E4A"/>
    <w:rsid w:val="28A411E0"/>
    <w:rsid w:val="28AC6094"/>
    <w:rsid w:val="28C32CC8"/>
    <w:rsid w:val="28C82E19"/>
    <w:rsid w:val="28D03A6C"/>
    <w:rsid w:val="28ED745A"/>
    <w:rsid w:val="28F907EA"/>
    <w:rsid w:val="28F91B05"/>
    <w:rsid w:val="28FE0259"/>
    <w:rsid w:val="290060E4"/>
    <w:rsid w:val="29062BF3"/>
    <w:rsid w:val="29066985"/>
    <w:rsid w:val="291B0225"/>
    <w:rsid w:val="291B3E62"/>
    <w:rsid w:val="291D47D6"/>
    <w:rsid w:val="291E65D5"/>
    <w:rsid w:val="29202188"/>
    <w:rsid w:val="292C4971"/>
    <w:rsid w:val="2947413F"/>
    <w:rsid w:val="29637235"/>
    <w:rsid w:val="2965607C"/>
    <w:rsid w:val="297D29CF"/>
    <w:rsid w:val="299368FF"/>
    <w:rsid w:val="29976425"/>
    <w:rsid w:val="29987749"/>
    <w:rsid w:val="29AE4D33"/>
    <w:rsid w:val="29E77C97"/>
    <w:rsid w:val="29F24D4B"/>
    <w:rsid w:val="29F5056E"/>
    <w:rsid w:val="29F8476D"/>
    <w:rsid w:val="2A2B3809"/>
    <w:rsid w:val="2A32072A"/>
    <w:rsid w:val="2A345DE6"/>
    <w:rsid w:val="2A380DAC"/>
    <w:rsid w:val="2A395581"/>
    <w:rsid w:val="2A471EA2"/>
    <w:rsid w:val="2A5314AA"/>
    <w:rsid w:val="2A5937A3"/>
    <w:rsid w:val="2A5949A1"/>
    <w:rsid w:val="2A5B63D3"/>
    <w:rsid w:val="2A5C6651"/>
    <w:rsid w:val="2A6638D1"/>
    <w:rsid w:val="2A6E7E21"/>
    <w:rsid w:val="2A703001"/>
    <w:rsid w:val="2A7B4894"/>
    <w:rsid w:val="2A856D92"/>
    <w:rsid w:val="2A863A98"/>
    <w:rsid w:val="2A8C68E4"/>
    <w:rsid w:val="2A9D2E79"/>
    <w:rsid w:val="2AA06B70"/>
    <w:rsid w:val="2AA54923"/>
    <w:rsid w:val="2AAC3C89"/>
    <w:rsid w:val="2AB259F2"/>
    <w:rsid w:val="2AB65654"/>
    <w:rsid w:val="2AC17DF5"/>
    <w:rsid w:val="2ACC0709"/>
    <w:rsid w:val="2ACD2102"/>
    <w:rsid w:val="2AEF1C8A"/>
    <w:rsid w:val="2AEF65BE"/>
    <w:rsid w:val="2AF132C5"/>
    <w:rsid w:val="2AF314AE"/>
    <w:rsid w:val="2AF96B80"/>
    <w:rsid w:val="2AFC03D8"/>
    <w:rsid w:val="2AFF1E1F"/>
    <w:rsid w:val="2B0611D2"/>
    <w:rsid w:val="2B065E3E"/>
    <w:rsid w:val="2B242240"/>
    <w:rsid w:val="2B255B99"/>
    <w:rsid w:val="2B2D0143"/>
    <w:rsid w:val="2B430BC3"/>
    <w:rsid w:val="2B4E0EB2"/>
    <w:rsid w:val="2B5B15BB"/>
    <w:rsid w:val="2B640CDD"/>
    <w:rsid w:val="2B6C64EA"/>
    <w:rsid w:val="2B6D4FAE"/>
    <w:rsid w:val="2B6E25C1"/>
    <w:rsid w:val="2B793644"/>
    <w:rsid w:val="2B7A6114"/>
    <w:rsid w:val="2B7F408E"/>
    <w:rsid w:val="2B957583"/>
    <w:rsid w:val="2BB1152D"/>
    <w:rsid w:val="2BBD0CDF"/>
    <w:rsid w:val="2BC226A9"/>
    <w:rsid w:val="2BDA01E8"/>
    <w:rsid w:val="2BE0452D"/>
    <w:rsid w:val="2BF23F6B"/>
    <w:rsid w:val="2C05296F"/>
    <w:rsid w:val="2C2801B0"/>
    <w:rsid w:val="2C2C1189"/>
    <w:rsid w:val="2C304224"/>
    <w:rsid w:val="2C42241A"/>
    <w:rsid w:val="2C510B30"/>
    <w:rsid w:val="2C5B3B90"/>
    <w:rsid w:val="2C6F47BA"/>
    <w:rsid w:val="2C70752A"/>
    <w:rsid w:val="2C981BD1"/>
    <w:rsid w:val="2CA77AA2"/>
    <w:rsid w:val="2CA9135E"/>
    <w:rsid w:val="2CC66591"/>
    <w:rsid w:val="2CD048BE"/>
    <w:rsid w:val="2CD872FD"/>
    <w:rsid w:val="2CDB2132"/>
    <w:rsid w:val="2CED416C"/>
    <w:rsid w:val="2CF61178"/>
    <w:rsid w:val="2CFB3025"/>
    <w:rsid w:val="2CFC55F8"/>
    <w:rsid w:val="2D036688"/>
    <w:rsid w:val="2D0879CF"/>
    <w:rsid w:val="2D1B0DF9"/>
    <w:rsid w:val="2D2104F8"/>
    <w:rsid w:val="2D213157"/>
    <w:rsid w:val="2D2A0AC1"/>
    <w:rsid w:val="2D2B1CCB"/>
    <w:rsid w:val="2D545910"/>
    <w:rsid w:val="2D555F50"/>
    <w:rsid w:val="2D8C1F00"/>
    <w:rsid w:val="2DA10490"/>
    <w:rsid w:val="2DE25856"/>
    <w:rsid w:val="2DE37F3B"/>
    <w:rsid w:val="2DE75AD8"/>
    <w:rsid w:val="2DF77CDD"/>
    <w:rsid w:val="2DFB52D7"/>
    <w:rsid w:val="2DFD37E3"/>
    <w:rsid w:val="2E143B94"/>
    <w:rsid w:val="2E184226"/>
    <w:rsid w:val="2E237CC3"/>
    <w:rsid w:val="2E2D678A"/>
    <w:rsid w:val="2E371ED6"/>
    <w:rsid w:val="2E381FE6"/>
    <w:rsid w:val="2E404274"/>
    <w:rsid w:val="2E623044"/>
    <w:rsid w:val="2E643BA3"/>
    <w:rsid w:val="2E690C63"/>
    <w:rsid w:val="2E6A06B7"/>
    <w:rsid w:val="2E8555D9"/>
    <w:rsid w:val="2E8B40FA"/>
    <w:rsid w:val="2EB4530D"/>
    <w:rsid w:val="2EC27BA3"/>
    <w:rsid w:val="2ECA5640"/>
    <w:rsid w:val="2ED009C0"/>
    <w:rsid w:val="2EF55F48"/>
    <w:rsid w:val="2F080EAC"/>
    <w:rsid w:val="2F0A0A9C"/>
    <w:rsid w:val="2F125049"/>
    <w:rsid w:val="2F1E302B"/>
    <w:rsid w:val="2F331A8A"/>
    <w:rsid w:val="2F3A2C00"/>
    <w:rsid w:val="2F4349B5"/>
    <w:rsid w:val="2F5271EF"/>
    <w:rsid w:val="2F6126A3"/>
    <w:rsid w:val="2F690CD5"/>
    <w:rsid w:val="2F6B174A"/>
    <w:rsid w:val="2F761F3F"/>
    <w:rsid w:val="2F7B492A"/>
    <w:rsid w:val="2F7C6F25"/>
    <w:rsid w:val="2F873DBC"/>
    <w:rsid w:val="2F90015C"/>
    <w:rsid w:val="2F900442"/>
    <w:rsid w:val="2F911176"/>
    <w:rsid w:val="2FA6439D"/>
    <w:rsid w:val="2FB5498F"/>
    <w:rsid w:val="2FBE480E"/>
    <w:rsid w:val="2FCB58CA"/>
    <w:rsid w:val="2FCE2912"/>
    <w:rsid w:val="2FD52893"/>
    <w:rsid w:val="2FDA2599"/>
    <w:rsid w:val="2FE14B6F"/>
    <w:rsid w:val="2FFF6E85"/>
    <w:rsid w:val="30146B38"/>
    <w:rsid w:val="301D7686"/>
    <w:rsid w:val="302A528B"/>
    <w:rsid w:val="302F4DC0"/>
    <w:rsid w:val="30365725"/>
    <w:rsid w:val="30372BFF"/>
    <w:rsid w:val="30474554"/>
    <w:rsid w:val="305901C8"/>
    <w:rsid w:val="30602B1A"/>
    <w:rsid w:val="306301A3"/>
    <w:rsid w:val="306C0EE6"/>
    <w:rsid w:val="3077572E"/>
    <w:rsid w:val="30806A80"/>
    <w:rsid w:val="308818AE"/>
    <w:rsid w:val="30884DB2"/>
    <w:rsid w:val="308F2A2D"/>
    <w:rsid w:val="309270AC"/>
    <w:rsid w:val="30B01B89"/>
    <w:rsid w:val="30B372D6"/>
    <w:rsid w:val="30C30374"/>
    <w:rsid w:val="30C36277"/>
    <w:rsid w:val="30D2076A"/>
    <w:rsid w:val="30D54DA4"/>
    <w:rsid w:val="30DB6B97"/>
    <w:rsid w:val="30E54203"/>
    <w:rsid w:val="30F73B6E"/>
    <w:rsid w:val="30FF70AD"/>
    <w:rsid w:val="31036B4C"/>
    <w:rsid w:val="31066ADF"/>
    <w:rsid w:val="31143174"/>
    <w:rsid w:val="312122C3"/>
    <w:rsid w:val="31336E2B"/>
    <w:rsid w:val="3135365F"/>
    <w:rsid w:val="313F1D38"/>
    <w:rsid w:val="3140284D"/>
    <w:rsid w:val="31425991"/>
    <w:rsid w:val="314E66FC"/>
    <w:rsid w:val="31500B84"/>
    <w:rsid w:val="3166400F"/>
    <w:rsid w:val="31690C55"/>
    <w:rsid w:val="316F2AB6"/>
    <w:rsid w:val="31722AAF"/>
    <w:rsid w:val="31727B09"/>
    <w:rsid w:val="317A12E0"/>
    <w:rsid w:val="31877B52"/>
    <w:rsid w:val="3189468A"/>
    <w:rsid w:val="318C5346"/>
    <w:rsid w:val="31925990"/>
    <w:rsid w:val="319A4F47"/>
    <w:rsid w:val="319D394D"/>
    <w:rsid w:val="31A30FDD"/>
    <w:rsid w:val="31BA7163"/>
    <w:rsid w:val="31BC0D8E"/>
    <w:rsid w:val="31CD7A77"/>
    <w:rsid w:val="31E94B62"/>
    <w:rsid w:val="31F531DC"/>
    <w:rsid w:val="31F81EA5"/>
    <w:rsid w:val="32065C08"/>
    <w:rsid w:val="320F7994"/>
    <w:rsid w:val="32204A88"/>
    <w:rsid w:val="32273DB7"/>
    <w:rsid w:val="322B56DB"/>
    <w:rsid w:val="322E1DB7"/>
    <w:rsid w:val="32311D93"/>
    <w:rsid w:val="323365F2"/>
    <w:rsid w:val="32703A7F"/>
    <w:rsid w:val="32780A79"/>
    <w:rsid w:val="328D31E1"/>
    <w:rsid w:val="32911BD3"/>
    <w:rsid w:val="32A24153"/>
    <w:rsid w:val="32B11583"/>
    <w:rsid w:val="32C93258"/>
    <w:rsid w:val="32E92720"/>
    <w:rsid w:val="32ED0693"/>
    <w:rsid w:val="32ED190E"/>
    <w:rsid w:val="32EE1CAE"/>
    <w:rsid w:val="32F85CF5"/>
    <w:rsid w:val="33007BB8"/>
    <w:rsid w:val="330506F3"/>
    <w:rsid w:val="331104A6"/>
    <w:rsid w:val="332F679A"/>
    <w:rsid w:val="333042A1"/>
    <w:rsid w:val="33474DCC"/>
    <w:rsid w:val="334C40DB"/>
    <w:rsid w:val="33555509"/>
    <w:rsid w:val="335A28A6"/>
    <w:rsid w:val="336D5240"/>
    <w:rsid w:val="338225B5"/>
    <w:rsid w:val="338660CE"/>
    <w:rsid w:val="33A77B60"/>
    <w:rsid w:val="33C93EE4"/>
    <w:rsid w:val="33D16BBD"/>
    <w:rsid w:val="33D30C84"/>
    <w:rsid w:val="33E913CB"/>
    <w:rsid w:val="33F80AD4"/>
    <w:rsid w:val="33F941A3"/>
    <w:rsid w:val="33FE03BD"/>
    <w:rsid w:val="340221EA"/>
    <w:rsid w:val="34082243"/>
    <w:rsid w:val="340D67F4"/>
    <w:rsid w:val="342F54B8"/>
    <w:rsid w:val="3433151C"/>
    <w:rsid w:val="343356B9"/>
    <w:rsid w:val="34377A92"/>
    <w:rsid w:val="344116AD"/>
    <w:rsid w:val="344C1188"/>
    <w:rsid w:val="3453438C"/>
    <w:rsid w:val="34583153"/>
    <w:rsid w:val="34594E8A"/>
    <w:rsid w:val="34793828"/>
    <w:rsid w:val="347A2085"/>
    <w:rsid w:val="347A4CCE"/>
    <w:rsid w:val="348B69E0"/>
    <w:rsid w:val="348B7802"/>
    <w:rsid w:val="349F62FC"/>
    <w:rsid w:val="34C30E3F"/>
    <w:rsid w:val="34C610BC"/>
    <w:rsid w:val="34CA6C2E"/>
    <w:rsid w:val="34CD1B46"/>
    <w:rsid w:val="34D00389"/>
    <w:rsid w:val="34D1318A"/>
    <w:rsid w:val="34DA61AC"/>
    <w:rsid w:val="34E170E2"/>
    <w:rsid w:val="34E63BDF"/>
    <w:rsid w:val="350009B7"/>
    <w:rsid w:val="35102373"/>
    <w:rsid w:val="35116EB9"/>
    <w:rsid w:val="351864AD"/>
    <w:rsid w:val="351D099B"/>
    <w:rsid w:val="35233F28"/>
    <w:rsid w:val="35311006"/>
    <w:rsid w:val="353A1D7D"/>
    <w:rsid w:val="35467D4B"/>
    <w:rsid w:val="35490B7D"/>
    <w:rsid w:val="354B6854"/>
    <w:rsid w:val="355D3C27"/>
    <w:rsid w:val="35606BC6"/>
    <w:rsid w:val="356911CF"/>
    <w:rsid w:val="356E3B89"/>
    <w:rsid w:val="35765D80"/>
    <w:rsid w:val="35786EEA"/>
    <w:rsid w:val="357D35AC"/>
    <w:rsid w:val="358C6AD3"/>
    <w:rsid w:val="359E5137"/>
    <w:rsid w:val="359F39EF"/>
    <w:rsid w:val="35A15854"/>
    <w:rsid w:val="35BD598A"/>
    <w:rsid w:val="35C15BC1"/>
    <w:rsid w:val="35CC1522"/>
    <w:rsid w:val="35D2113D"/>
    <w:rsid w:val="35D42696"/>
    <w:rsid w:val="35F80F4B"/>
    <w:rsid w:val="35FB06D9"/>
    <w:rsid w:val="35FD5EC6"/>
    <w:rsid w:val="36104916"/>
    <w:rsid w:val="361A0126"/>
    <w:rsid w:val="36261281"/>
    <w:rsid w:val="362A7C15"/>
    <w:rsid w:val="362A7D2C"/>
    <w:rsid w:val="362C30F1"/>
    <w:rsid w:val="363569BC"/>
    <w:rsid w:val="364A00CB"/>
    <w:rsid w:val="366E5E9B"/>
    <w:rsid w:val="36776B18"/>
    <w:rsid w:val="36777467"/>
    <w:rsid w:val="368572D6"/>
    <w:rsid w:val="368B7CD1"/>
    <w:rsid w:val="368E3763"/>
    <w:rsid w:val="369E4E9A"/>
    <w:rsid w:val="36A82D21"/>
    <w:rsid w:val="36AF0899"/>
    <w:rsid w:val="36BD3FAB"/>
    <w:rsid w:val="36BF7B76"/>
    <w:rsid w:val="36CF0326"/>
    <w:rsid w:val="36EF2AD6"/>
    <w:rsid w:val="36FA670D"/>
    <w:rsid w:val="370528F7"/>
    <w:rsid w:val="370D56CE"/>
    <w:rsid w:val="37263BB7"/>
    <w:rsid w:val="372F5B46"/>
    <w:rsid w:val="3743125F"/>
    <w:rsid w:val="37540B12"/>
    <w:rsid w:val="375A1E65"/>
    <w:rsid w:val="3762412B"/>
    <w:rsid w:val="3769794D"/>
    <w:rsid w:val="376B2492"/>
    <w:rsid w:val="37742A93"/>
    <w:rsid w:val="37763BDB"/>
    <w:rsid w:val="37780153"/>
    <w:rsid w:val="37831E58"/>
    <w:rsid w:val="37890313"/>
    <w:rsid w:val="37906895"/>
    <w:rsid w:val="379472AB"/>
    <w:rsid w:val="379A02F9"/>
    <w:rsid w:val="37A5234B"/>
    <w:rsid w:val="37B948D4"/>
    <w:rsid w:val="37BD542B"/>
    <w:rsid w:val="37BE6B85"/>
    <w:rsid w:val="37BF1B87"/>
    <w:rsid w:val="37D74F45"/>
    <w:rsid w:val="37E712BE"/>
    <w:rsid w:val="37E717AF"/>
    <w:rsid w:val="37ED758B"/>
    <w:rsid w:val="37EE3ABB"/>
    <w:rsid w:val="38075F21"/>
    <w:rsid w:val="381E7499"/>
    <w:rsid w:val="382E0693"/>
    <w:rsid w:val="382F1F70"/>
    <w:rsid w:val="383641CE"/>
    <w:rsid w:val="38395F0B"/>
    <w:rsid w:val="38411FAC"/>
    <w:rsid w:val="3843682A"/>
    <w:rsid w:val="3854244B"/>
    <w:rsid w:val="38647F8F"/>
    <w:rsid w:val="38655E03"/>
    <w:rsid w:val="387F1C03"/>
    <w:rsid w:val="387F690B"/>
    <w:rsid w:val="38835BCD"/>
    <w:rsid w:val="388360DB"/>
    <w:rsid w:val="38841646"/>
    <w:rsid w:val="38857733"/>
    <w:rsid w:val="388C0BFB"/>
    <w:rsid w:val="388F1BD9"/>
    <w:rsid w:val="38902837"/>
    <w:rsid w:val="38981F11"/>
    <w:rsid w:val="389F6F2C"/>
    <w:rsid w:val="38B6240B"/>
    <w:rsid w:val="38BB440C"/>
    <w:rsid w:val="38FA6255"/>
    <w:rsid w:val="39027305"/>
    <w:rsid w:val="39040EFE"/>
    <w:rsid w:val="39093F22"/>
    <w:rsid w:val="3910177F"/>
    <w:rsid w:val="39204225"/>
    <w:rsid w:val="39241F9D"/>
    <w:rsid w:val="392F0FA6"/>
    <w:rsid w:val="393E4B3A"/>
    <w:rsid w:val="394136E1"/>
    <w:rsid w:val="394256E4"/>
    <w:rsid w:val="396370A1"/>
    <w:rsid w:val="39805381"/>
    <w:rsid w:val="398750DD"/>
    <w:rsid w:val="398E504E"/>
    <w:rsid w:val="39993207"/>
    <w:rsid w:val="3999356C"/>
    <w:rsid w:val="39AE29EF"/>
    <w:rsid w:val="39B04A52"/>
    <w:rsid w:val="39B255A4"/>
    <w:rsid w:val="39D8720E"/>
    <w:rsid w:val="39D933EE"/>
    <w:rsid w:val="39E70AB4"/>
    <w:rsid w:val="39E822E1"/>
    <w:rsid w:val="39EC3A69"/>
    <w:rsid w:val="39EC4CFD"/>
    <w:rsid w:val="3A1A6AE5"/>
    <w:rsid w:val="3A1D00A9"/>
    <w:rsid w:val="3A24486C"/>
    <w:rsid w:val="3A290FB2"/>
    <w:rsid w:val="3A2A0859"/>
    <w:rsid w:val="3A392C3D"/>
    <w:rsid w:val="3A4E06CC"/>
    <w:rsid w:val="3A59397C"/>
    <w:rsid w:val="3A6C76E2"/>
    <w:rsid w:val="3A865FCC"/>
    <w:rsid w:val="3A8F36F6"/>
    <w:rsid w:val="3A904BB9"/>
    <w:rsid w:val="3A9F736E"/>
    <w:rsid w:val="3AA5505E"/>
    <w:rsid w:val="3ACB0BC3"/>
    <w:rsid w:val="3AEB09F6"/>
    <w:rsid w:val="3AED29F5"/>
    <w:rsid w:val="3B117E5C"/>
    <w:rsid w:val="3B1429BB"/>
    <w:rsid w:val="3B1D59B5"/>
    <w:rsid w:val="3B2F6473"/>
    <w:rsid w:val="3B3255F4"/>
    <w:rsid w:val="3B4105C2"/>
    <w:rsid w:val="3B46169C"/>
    <w:rsid w:val="3B4910D5"/>
    <w:rsid w:val="3B751891"/>
    <w:rsid w:val="3B7D32FB"/>
    <w:rsid w:val="3B85261F"/>
    <w:rsid w:val="3B903C31"/>
    <w:rsid w:val="3B9713A7"/>
    <w:rsid w:val="3BA019A1"/>
    <w:rsid w:val="3BA23028"/>
    <w:rsid w:val="3BA37360"/>
    <w:rsid w:val="3BA520C1"/>
    <w:rsid w:val="3BC60EC6"/>
    <w:rsid w:val="3BC97006"/>
    <w:rsid w:val="3BCB7DB9"/>
    <w:rsid w:val="3BCD391A"/>
    <w:rsid w:val="3BD0729C"/>
    <w:rsid w:val="3BD53312"/>
    <w:rsid w:val="3BFD29DF"/>
    <w:rsid w:val="3C172855"/>
    <w:rsid w:val="3C1C6E01"/>
    <w:rsid w:val="3C2B399F"/>
    <w:rsid w:val="3C2F693E"/>
    <w:rsid w:val="3C38274C"/>
    <w:rsid w:val="3C4C4333"/>
    <w:rsid w:val="3C4E75B4"/>
    <w:rsid w:val="3C5E77F3"/>
    <w:rsid w:val="3C6C5C30"/>
    <w:rsid w:val="3C750042"/>
    <w:rsid w:val="3C755506"/>
    <w:rsid w:val="3C773608"/>
    <w:rsid w:val="3C7A469E"/>
    <w:rsid w:val="3C8E7074"/>
    <w:rsid w:val="3C957FA9"/>
    <w:rsid w:val="3C964251"/>
    <w:rsid w:val="3CAA1F27"/>
    <w:rsid w:val="3CAE1069"/>
    <w:rsid w:val="3CE21D4D"/>
    <w:rsid w:val="3CE97901"/>
    <w:rsid w:val="3CEB0AA4"/>
    <w:rsid w:val="3CEC29BB"/>
    <w:rsid w:val="3CF26BD0"/>
    <w:rsid w:val="3CFA144F"/>
    <w:rsid w:val="3CFA29C0"/>
    <w:rsid w:val="3D06058B"/>
    <w:rsid w:val="3D0C0967"/>
    <w:rsid w:val="3D11609F"/>
    <w:rsid w:val="3D207130"/>
    <w:rsid w:val="3D241124"/>
    <w:rsid w:val="3D2A4354"/>
    <w:rsid w:val="3D354D52"/>
    <w:rsid w:val="3D3D0F0F"/>
    <w:rsid w:val="3D553E7F"/>
    <w:rsid w:val="3D775FE4"/>
    <w:rsid w:val="3D7D375B"/>
    <w:rsid w:val="3D813FBF"/>
    <w:rsid w:val="3D873286"/>
    <w:rsid w:val="3D9C0826"/>
    <w:rsid w:val="3DA05700"/>
    <w:rsid w:val="3DA61CC4"/>
    <w:rsid w:val="3DBC1C0D"/>
    <w:rsid w:val="3DBD3C2F"/>
    <w:rsid w:val="3DC7357B"/>
    <w:rsid w:val="3DCF6101"/>
    <w:rsid w:val="3DD510E9"/>
    <w:rsid w:val="3DDA309C"/>
    <w:rsid w:val="3DDE2B5D"/>
    <w:rsid w:val="3DDF0AF5"/>
    <w:rsid w:val="3DEF1261"/>
    <w:rsid w:val="3DFD266E"/>
    <w:rsid w:val="3DFF1C01"/>
    <w:rsid w:val="3E24720B"/>
    <w:rsid w:val="3E41576E"/>
    <w:rsid w:val="3E464EE1"/>
    <w:rsid w:val="3E5378BB"/>
    <w:rsid w:val="3E602273"/>
    <w:rsid w:val="3E760551"/>
    <w:rsid w:val="3E884159"/>
    <w:rsid w:val="3E935A3D"/>
    <w:rsid w:val="3E95498C"/>
    <w:rsid w:val="3E9F56DD"/>
    <w:rsid w:val="3E9F5CB9"/>
    <w:rsid w:val="3EA35D6D"/>
    <w:rsid w:val="3EA75D38"/>
    <w:rsid w:val="3EAA03BE"/>
    <w:rsid w:val="3EAA3F13"/>
    <w:rsid w:val="3EAB1E28"/>
    <w:rsid w:val="3EAB5EB7"/>
    <w:rsid w:val="3EB270A6"/>
    <w:rsid w:val="3EBF1CED"/>
    <w:rsid w:val="3EC83CFC"/>
    <w:rsid w:val="3ED42600"/>
    <w:rsid w:val="3ED47EBD"/>
    <w:rsid w:val="3ED50BD6"/>
    <w:rsid w:val="3EDF6230"/>
    <w:rsid w:val="3EE326DE"/>
    <w:rsid w:val="3EE36162"/>
    <w:rsid w:val="3EE455FB"/>
    <w:rsid w:val="3F0D08C9"/>
    <w:rsid w:val="3F102006"/>
    <w:rsid w:val="3F113C78"/>
    <w:rsid w:val="3F1B6E6E"/>
    <w:rsid w:val="3F1D39CD"/>
    <w:rsid w:val="3F206044"/>
    <w:rsid w:val="3F2D7529"/>
    <w:rsid w:val="3F303E6D"/>
    <w:rsid w:val="3F382A2A"/>
    <w:rsid w:val="3F4E57AE"/>
    <w:rsid w:val="3F525B8E"/>
    <w:rsid w:val="3F5E50BD"/>
    <w:rsid w:val="3F7949CC"/>
    <w:rsid w:val="3F7B1DD4"/>
    <w:rsid w:val="3F836EDA"/>
    <w:rsid w:val="3F8E6ED7"/>
    <w:rsid w:val="3F8F5639"/>
    <w:rsid w:val="3FA33341"/>
    <w:rsid w:val="3FA80A42"/>
    <w:rsid w:val="3FAD6DC3"/>
    <w:rsid w:val="3FAE7E91"/>
    <w:rsid w:val="3FB017B1"/>
    <w:rsid w:val="3FB1786A"/>
    <w:rsid w:val="3FB452E6"/>
    <w:rsid w:val="3FBB599D"/>
    <w:rsid w:val="3FCF0987"/>
    <w:rsid w:val="3FDB02D2"/>
    <w:rsid w:val="3FE666B8"/>
    <w:rsid w:val="3FEB5588"/>
    <w:rsid w:val="3FEB7BDF"/>
    <w:rsid w:val="40034552"/>
    <w:rsid w:val="400439AF"/>
    <w:rsid w:val="400611FF"/>
    <w:rsid w:val="40074897"/>
    <w:rsid w:val="40090376"/>
    <w:rsid w:val="401A7160"/>
    <w:rsid w:val="40324D41"/>
    <w:rsid w:val="40335FEB"/>
    <w:rsid w:val="403E49F7"/>
    <w:rsid w:val="40434B77"/>
    <w:rsid w:val="40435D10"/>
    <w:rsid w:val="4047730A"/>
    <w:rsid w:val="40517EE9"/>
    <w:rsid w:val="405979E5"/>
    <w:rsid w:val="40652778"/>
    <w:rsid w:val="407950AC"/>
    <w:rsid w:val="40817CAB"/>
    <w:rsid w:val="408C380D"/>
    <w:rsid w:val="40AA53F3"/>
    <w:rsid w:val="40AD0B07"/>
    <w:rsid w:val="40BE3557"/>
    <w:rsid w:val="40CC34FC"/>
    <w:rsid w:val="40D02F67"/>
    <w:rsid w:val="40D31CE5"/>
    <w:rsid w:val="40D50AE5"/>
    <w:rsid w:val="40D911C3"/>
    <w:rsid w:val="40E23011"/>
    <w:rsid w:val="40E34BA3"/>
    <w:rsid w:val="410007AB"/>
    <w:rsid w:val="41066587"/>
    <w:rsid w:val="410F2191"/>
    <w:rsid w:val="411644D0"/>
    <w:rsid w:val="411D09DE"/>
    <w:rsid w:val="41222FD4"/>
    <w:rsid w:val="412676E2"/>
    <w:rsid w:val="412811C5"/>
    <w:rsid w:val="413470B6"/>
    <w:rsid w:val="41447804"/>
    <w:rsid w:val="4158165D"/>
    <w:rsid w:val="416335F1"/>
    <w:rsid w:val="417D7EB7"/>
    <w:rsid w:val="417E4A91"/>
    <w:rsid w:val="4180767E"/>
    <w:rsid w:val="41887A5A"/>
    <w:rsid w:val="41A67324"/>
    <w:rsid w:val="41B528AF"/>
    <w:rsid w:val="41CB538F"/>
    <w:rsid w:val="41F3246D"/>
    <w:rsid w:val="41F6584F"/>
    <w:rsid w:val="42120BEC"/>
    <w:rsid w:val="421E6BBA"/>
    <w:rsid w:val="42276243"/>
    <w:rsid w:val="42303C37"/>
    <w:rsid w:val="42343AD5"/>
    <w:rsid w:val="423578F4"/>
    <w:rsid w:val="42394C28"/>
    <w:rsid w:val="42445101"/>
    <w:rsid w:val="42490E9F"/>
    <w:rsid w:val="424E4CDE"/>
    <w:rsid w:val="425629BB"/>
    <w:rsid w:val="425F0680"/>
    <w:rsid w:val="42657083"/>
    <w:rsid w:val="426835FD"/>
    <w:rsid w:val="4270227E"/>
    <w:rsid w:val="42725710"/>
    <w:rsid w:val="42757F49"/>
    <w:rsid w:val="427C4356"/>
    <w:rsid w:val="429640C8"/>
    <w:rsid w:val="42964DB4"/>
    <w:rsid w:val="429E7154"/>
    <w:rsid w:val="42B57F72"/>
    <w:rsid w:val="42CD129B"/>
    <w:rsid w:val="42D32CC3"/>
    <w:rsid w:val="42E3068B"/>
    <w:rsid w:val="42F7666D"/>
    <w:rsid w:val="42F91688"/>
    <w:rsid w:val="42FD1F1D"/>
    <w:rsid w:val="43031720"/>
    <w:rsid w:val="43141F68"/>
    <w:rsid w:val="431836BD"/>
    <w:rsid w:val="431E106E"/>
    <w:rsid w:val="4329044A"/>
    <w:rsid w:val="43292E3E"/>
    <w:rsid w:val="432F53AF"/>
    <w:rsid w:val="433D3EF0"/>
    <w:rsid w:val="43471C8F"/>
    <w:rsid w:val="43534358"/>
    <w:rsid w:val="43537967"/>
    <w:rsid w:val="4369458C"/>
    <w:rsid w:val="436B0FEF"/>
    <w:rsid w:val="43804545"/>
    <w:rsid w:val="438E5D97"/>
    <w:rsid w:val="43963D2F"/>
    <w:rsid w:val="43AD0F93"/>
    <w:rsid w:val="43B02FB4"/>
    <w:rsid w:val="43BF7B67"/>
    <w:rsid w:val="43C675F6"/>
    <w:rsid w:val="43DA70F0"/>
    <w:rsid w:val="43EA1CA8"/>
    <w:rsid w:val="43EA52EE"/>
    <w:rsid w:val="43EB32F1"/>
    <w:rsid w:val="43ED609D"/>
    <w:rsid w:val="440B10A3"/>
    <w:rsid w:val="44360319"/>
    <w:rsid w:val="44444AD1"/>
    <w:rsid w:val="445353CE"/>
    <w:rsid w:val="44583204"/>
    <w:rsid w:val="4463101F"/>
    <w:rsid w:val="44632ECA"/>
    <w:rsid w:val="446709B1"/>
    <w:rsid w:val="446B0ED2"/>
    <w:rsid w:val="44784DD8"/>
    <w:rsid w:val="448516AA"/>
    <w:rsid w:val="44854867"/>
    <w:rsid w:val="448A1024"/>
    <w:rsid w:val="448D3975"/>
    <w:rsid w:val="44A81631"/>
    <w:rsid w:val="44AB37AA"/>
    <w:rsid w:val="44B62465"/>
    <w:rsid w:val="44BE608B"/>
    <w:rsid w:val="44F700E9"/>
    <w:rsid w:val="44FD66D4"/>
    <w:rsid w:val="4500559E"/>
    <w:rsid w:val="4522174D"/>
    <w:rsid w:val="452E0FAF"/>
    <w:rsid w:val="45417939"/>
    <w:rsid w:val="454E3EE1"/>
    <w:rsid w:val="45591B9A"/>
    <w:rsid w:val="456053B8"/>
    <w:rsid w:val="4566467E"/>
    <w:rsid w:val="456B7F05"/>
    <w:rsid w:val="457954F6"/>
    <w:rsid w:val="4585130F"/>
    <w:rsid w:val="458D6A46"/>
    <w:rsid w:val="458F737D"/>
    <w:rsid w:val="459B6F72"/>
    <w:rsid w:val="45A23050"/>
    <w:rsid w:val="45AF54B3"/>
    <w:rsid w:val="45BB4825"/>
    <w:rsid w:val="45C00C0F"/>
    <w:rsid w:val="45CE5248"/>
    <w:rsid w:val="45D93C87"/>
    <w:rsid w:val="45ED76AB"/>
    <w:rsid w:val="45EF0BA6"/>
    <w:rsid w:val="45FF6FF3"/>
    <w:rsid w:val="460531A8"/>
    <w:rsid w:val="460567DB"/>
    <w:rsid w:val="46092358"/>
    <w:rsid w:val="46136D35"/>
    <w:rsid w:val="461C1D2B"/>
    <w:rsid w:val="462052FC"/>
    <w:rsid w:val="462976F5"/>
    <w:rsid w:val="46417187"/>
    <w:rsid w:val="46463B2D"/>
    <w:rsid w:val="464736B8"/>
    <w:rsid w:val="464763EF"/>
    <w:rsid w:val="464C6853"/>
    <w:rsid w:val="46593507"/>
    <w:rsid w:val="46893BAA"/>
    <w:rsid w:val="46915A18"/>
    <w:rsid w:val="46965365"/>
    <w:rsid w:val="469E23FE"/>
    <w:rsid w:val="46BA5399"/>
    <w:rsid w:val="46C0774E"/>
    <w:rsid w:val="46C74011"/>
    <w:rsid w:val="46CC5899"/>
    <w:rsid w:val="46DC6B76"/>
    <w:rsid w:val="46E61C15"/>
    <w:rsid w:val="46F9279B"/>
    <w:rsid w:val="47085B62"/>
    <w:rsid w:val="47110CF3"/>
    <w:rsid w:val="4716174D"/>
    <w:rsid w:val="4717746E"/>
    <w:rsid w:val="471A473A"/>
    <w:rsid w:val="472B5447"/>
    <w:rsid w:val="472E0D96"/>
    <w:rsid w:val="473E59E6"/>
    <w:rsid w:val="473E69E7"/>
    <w:rsid w:val="47451F7E"/>
    <w:rsid w:val="47505A13"/>
    <w:rsid w:val="47567980"/>
    <w:rsid w:val="47596A24"/>
    <w:rsid w:val="476020A9"/>
    <w:rsid w:val="47647C67"/>
    <w:rsid w:val="47813E6C"/>
    <w:rsid w:val="47830C17"/>
    <w:rsid w:val="47965D96"/>
    <w:rsid w:val="47A16E20"/>
    <w:rsid w:val="47AD3818"/>
    <w:rsid w:val="47B63425"/>
    <w:rsid w:val="47CC2C76"/>
    <w:rsid w:val="47D013A3"/>
    <w:rsid w:val="47D5537E"/>
    <w:rsid w:val="47E719F6"/>
    <w:rsid w:val="47F644E2"/>
    <w:rsid w:val="48160E89"/>
    <w:rsid w:val="484E4023"/>
    <w:rsid w:val="484E4AFF"/>
    <w:rsid w:val="484F7780"/>
    <w:rsid w:val="485668C9"/>
    <w:rsid w:val="48651D2B"/>
    <w:rsid w:val="48832D0E"/>
    <w:rsid w:val="489946AC"/>
    <w:rsid w:val="48B21364"/>
    <w:rsid w:val="48B6702D"/>
    <w:rsid w:val="48C0565D"/>
    <w:rsid w:val="48C61B67"/>
    <w:rsid w:val="48F04582"/>
    <w:rsid w:val="48F34BC4"/>
    <w:rsid w:val="48F90824"/>
    <w:rsid w:val="48FF5224"/>
    <w:rsid w:val="49191579"/>
    <w:rsid w:val="49197377"/>
    <w:rsid w:val="49227021"/>
    <w:rsid w:val="493613E1"/>
    <w:rsid w:val="494537F3"/>
    <w:rsid w:val="494738E3"/>
    <w:rsid w:val="494E3A8D"/>
    <w:rsid w:val="49520A82"/>
    <w:rsid w:val="495469B6"/>
    <w:rsid w:val="495C5FFC"/>
    <w:rsid w:val="496212D8"/>
    <w:rsid w:val="4962166B"/>
    <w:rsid w:val="496874F6"/>
    <w:rsid w:val="498108E5"/>
    <w:rsid w:val="499409BD"/>
    <w:rsid w:val="49952DEC"/>
    <w:rsid w:val="499A6170"/>
    <w:rsid w:val="499C0BE6"/>
    <w:rsid w:val="49B839D3"/>
    <w:rsid w:val="49B92E28"/>
    <w:rsid w:val="49C66341"/>
    <w:rsid w:val="49D76D2D"/>
    <w:rsid w:val="49DD48C2"/>
    <w:rsid w:val="49E5498A"/>
    <w:rsid w:val="49E86B55"/>
    <w:rsid w:val="4A1261B9"/>
    <w:rsid w:val="4A1D39BF"/>
    <w:rsid w:val="4A335E1A"/>
    <w:rsid w:val="4A370D70"/>
    <w:rsid w:val="4A407E90"/>
    <w:rsid w:val="4A41394B"/>
    <w:rsid w:val="4A48152D"/>
    <w:rsid w:val="4A5A59C7"/>
    <w:rsid w:val="4A5E19AD"/>
    <w:rsid w:val="4A64233B"/>
    <w:rsid w:val="4A655710"/>
    <w:rsid w:val="4A6E1894"/>
    <w:rsid w:val="4A6F2FFF"/>
    <w:rsid w:val="4A735DEF"/>
    <w:rsid w:val="4A8708FD"/>
    <w:rsid w:val="4A924AC6"/>
    <w:rsid w:val="4AAA3D25"/>
    <w:rsid w:val="4AAE2E9D"/>
    <w:rsid w:val="4AB0588A"/>
    <w:rsid w:val="4AB44078"/>
    <w:rsid w:val="4AB928FA"/>
    <w:rsid w:val="4AC144D7"/>
    <w:rsid w:val="4AC634EA"/>
    <w:rsid w:val="4ADF19FB"/>
    <w:rsid w:val="4AE22D3B"/>
    <w:rsid w:val="4AE30665"/>
    <w:rsid w:val="4AF8533B"/>
    <w:rsid w:val="4AFE7615"/>
    <w:rsid w:val="4AFF3475"/>
    <w:rsid w:val="4B257BE7"/>
    <w:rsid w:val="4B2F318E"/>
    <w:rsid w:val="4B452FD1"/>
    <w:rsid w:val="4B5F2D6F"/>
    <w:rsid w:val="4B7E0712"/>
    <w:rsid w:val="4B9D553E"/>
    <w:rsid w:val="4BA31F18"/>
    <w:rsid w:val="4BA45B7B"/>
    <w:rsid w:val="4BA502B0"/>
    <w:rsid w:val="4BA84D58"/>
    <w:rsid w:val="4BC8079B"/>
    <w:rsid w:val="4BD21409"/>
    <w:rsid w:val="4BE540A3"/>
    <w:rsid w:val="4BEB5039"/>
    <w:rsid w:val="4BF76C86"/>
    <w:rsid w:val="4C0E71B4"/>
    <w:rsid w:val="4C14373C"/>
    <w:rsid w:val="4C2841FE"/>
    <w:rsid w:val="4C3A67D6"/>
    <w:rsid w:val="4C3F04EE"/>
    <w:rsid w:val="4C566AEF"/>
    <w:rsid w:val="4C665FDC"/>
    <w:rsid w:val="4C7F4686"/>
    <w:rsid w:val="4C8A60C9"/>
    <w:rsid w:val="4CA83E46"/>
    <w:rsid w:val="4CD11F7B"/>
    <w:rsid w:val="4CF7690B"/>
    <w:rsid w:val="4CFD1608"/>
    <w:rsid w:val="4D005E83"/>
    <w:rsid w:val="4D02378B"/>
    <w:rsid w:val="4D0A2714"/>
    <w:rsid w:val="4D1F687D"/>
    <w:rsid w:val="4D244A36"/>
    <w:rsid w:val="4D35717E"/>
    <w:rsid w:val="4D7D6326"/>
    <w:rsid w:val="4D905252"/>
    <w:rsid w:val="4D9905DB"/>
    <w:rsid w:val="4D9D32EC"/>
    <w:rsid w:val="4D9F0438"/>
    <w:rsid w:val="4DA03483"/>
    <w:rsid w:val="4DA0725F"/>
    <w:rsid w:val="4DA80636"/>
    <w:rsid w:val="4DAD3707"/>
    <w:rsid w:val="4DBF6167"/>
    <w:rsid w:val="4DC512C7"/>
    <w:rsid w:val="4DC62DB4"/>
    <w:rsid w:val="4DCF1DF2"/>
    <w:rsid w:val="4DD43B01"/>
    <w:rsid w:val="4DEB2254"/>
    <w:rsid w:val="4DEC1834"/>
    <w:rsid w:val="4E027626"/>
    <w:rsid w:val="4E0B29D0"/>
    <w:rsid w:val="4E0C7CD6"/>
    <w:rsid w:val="4E105137"/>
    <w:rsid w:val="4E125E4B"/>
    <w:rsid w:val="4E24446D"/>
    <w:rsid w:val="4E296084"/>
    <w:rsid w:val="4E384941"/>
    <w:rsid w:val="4E3B58A0"/>
    <w:rsid w:val="4E4F188A"/>
    <w:rsid w:val="4E5B3845"/>
    <w:rsid w:val="4E5F6F23"/>
    <w:rsid w:val="4E645949"/>
    <w:rsid w:val="4E650B89"/>
    <w:rsid w:val="4E684719"/>
    <w:rsid w:val="4E7E3C44"/>
    <w:rsid w:val="4E821445"/>
    <w:rsid w:val="4E882D0E"/>
    <w:rsid w:val="4E8D78E1"/>
    <w:rsid w:val="4E8F765C"/>
    <w:rsid w:val="4EA173B4"/>
    <w:rsid w:val="4EB76CC9"/>
    <w:rsid w:val="4EC67BCB"/>
    <w:rsid w:val="4EC708C5"/>
    <w:rsid w:val="4ED8490F"/>
    <w:rsid w:val="4EDF535A"/>
    <w:rsid w:val="4EFA2969"/>
    <w:rsid w:val="4EFE2DE0"/>
    <w:rsid w:val="4F18793F"/>
    <w:rsid w:val="4F220981"/>
    <w:rsid w:val="4F350E27"/>
    <w:rsid w:val="4F3A2FEE"/>
    <w:rsid w:val="4F40110F"/>
    <w:rsid w:val="4F424A00"/>
    <w:rsid w:val="4F427785"/>
    <w:rsid w:val="4F43035B"/>
    <w:rsid w:val="4F5678E2"/>
    <w:rsid w:val="4F702264"/>
    <w:rsid w:val="4F794547"/>
    <w:rsid w:val="4F7C0BFA"/>
    <w:rsid w:val="4F9021F4"/>
    <w:rsid w:val="4F907BBE"/>
    <w:rsid w:val="4F997FEC"/>
    <w:rsid w:val="4F9C466D"/>
    <w:rsid w:val="4F9F3C3B"/>
    <w:rsid w:val="4FB0238D"/>
    <w:rsid w:val="4FB872AD"/>
    <w:rsid w:val="4FBE3F07"/>
    <w:rsid w:val="4FD87A55"/>
    <w:rsid w:val="4FDC066D"/>
    <w:rsid w:val="4FF5216F"/>
    <w:rsid w:val="4FF75C64"/>
    <w:rsid w:val="500C605D"/>
    <w:rsid w:val="50183D48"/>
    <w:rsid w:val="50191798"/>
    <w:rsid w:val="50225E9C"/>
    <w:rsid w:val="502B5F72"/>
    <w:rsid w:val="502C0DDA"/>
    <w:rsid w:val="502C7022"/>
    <w:rsid w:val="50370A69"/>
    <w:rsid w:val="5041263B"/>
    <w:rsid w:val="50466FD1"/>
    <w:rsid w:val="504A0556"/>
    <w:rsid w:val="50522A56"/>
    <w:rsid w:val="50740C4B"/>
    <w:rsid w:val="50753C5A"/>
    <w:rsid w:val="508A666E"/>
    <w:rsid w:val="50914410"/>
    <w:rsid w:val="50A34D25"/>
    <w:rsid w:val="50A4654F"/>
    <w:rsid w:val="50AE2A53"/>
    <w:rsid w:val="50B432F8"/>
    <w:rsid w:val="50BB18DB"/>
    <w:rsid w:val="50BC54AE"/>
    <w:rsid w:val="50E772C9"/>
    <w:rsid w:val="50F13DAF"/>
    <w:rsid w:val="50F7752C"/>
    <w:rsid w:val="51005436"/>
    <w:rsid w:val="510605E6"/>
    <w:rsid w:val="511321E3"/>
    <w:rsid w:val="511E2E82"/>
    <w:rsid w:val="512014C6"/>
    <w:rsid w:val="51210556"/>
    <w:rsid w:val="51317DAD"/>
    <w:rsid w:val="514142E8"/>
    <w:rsid w:val="51427534"/>
    <w:rsid w:val="51535003"/>
    <w:rsid w:val="51537BD9"/>
    <w:rsid w:val="51577749"/>
    <w:rsid w:val="515976F0"/>
    <w:rsid w:val="51814C44"/>
    <w:rsid w:val="518458E0"/>
    <w:rsid w:val="51991793"/>
    <w:rsid w:val="519A3CB4"/>
    <w:rsid w:val="519F4006"/>
    <w:rsid w:val="51A540A5"/>
    <w:rsid w:val="51AF64AA"/>
    <w:rsid w:val="51DD79AA"/>
    <w:rsid w:val="51DE5339"/>
    <w:rsid w:val="51F038A2"/>
    <w:rsid w:val="51F855E4"/>
    <w:rsid w:val="51FA713E"/>
    <w:rsid w:val="52082EB5"/>
    <w:rsid w:val="520A301E"/>
    <w:rsid w:val="52145F48"/>
    <w:rsid w:val="522345BA"/>
    <w:rsid w:val="522974BD"/>
    <w:rsid w:val="523B01BF"/>
    <w:rsid w:val="523C3645"/>
    <w:rsid w:val="52417599"/>
    <w:rsid w:val="5253086C"/>
    <w:rsid w:val="5258771C"/>
    <w:rsid w:val="527C1657"/>
    <w:rsid w:val="527C215D"/>
    <w:rsid w:val="52864C06"/>
    <w:rsid w:val="528C324C"/>
    <w:rsid w:val="528E1B32"/>
    <w:rsid w:val="52A06264"/>
    <w:rsid w:val="52C415C0"/>
    <w:rsid w:val="52CD7EE0"/>
    <w:rsid w:val="52DB1626"/>
    <w:rsid w:val="52E13C09"/>
    <w:rsid w:val="52EB5272"/>
    <w:rsid w:val="52EE0753"/>
    <w:rsid w:val="52F21FBF"/>
    <w:rsid w:val="52FE106D"/>
    <w:rsid w:val="52FE5D89"/>
    <w:rsid w:val="53037E80"/>
    <w:rsid w:val="531C1927"/>
    <w:rsid w:val="533F00BC"/>
    <w:rsid w:val="53465A13"/>
    <w:rsid w:val="534B03E8"/>
    <w:rsid w:val="5357770C"/>
    <w:rsid w:val="53614CE7"/>
    <w:rsid w:val="53693DFB"/>
    <w:rsid w:val="537B25FD"/>
    <w:rsid w:val="537E5248"/>
    <w:rsid w:val="5382368E"/>
    <w:rsid w:val="538B4F94"/>
    <w:rsid w:val="538D421E"/>
    <w:rsid w:val="539F3E48"/>
    <w:rsid w:val="53B82D64"/>
    <w:rsid w:val="53BD6863"/>
    <w:rsid w:val="53C2151D"/>
    <w:rsid w:val="53DC3862"/>
    <w:rsid w:val="53EB5B7A"/>
    <w:rsid w:val="540A64A7"/>
    <w:rsid w:val="541717E6"/>
    <w:rsid w:val="541D6A4B"/>
    <w:rsid w:val="542D1D24"/>
    <w:rsid w:val="542E14A0"/>
    <w:rsid w:val="54362F96"/>
    <w:rsid w:val="54523118"/>
    <w:rsid w:val="545D0BCF"/>
    <w:rsid w:val="549C4E35"/>
    <w:rsid w:val="54AC750F"/>
    <w:rsid w:val="54AE0419"/>
    <w:rsid w:val="54AE177D"/>
    <w:rsid w:val="54B35990"/>
    <w:rsid w:val="54B61C79"/>
    <w:rsid w:val="54BF088F"/>
    <w:rsid w:val="54C844A2"/>
    <w:rsid w:val="54D00AB7"/>
    <w:rsid w:val="54D255F9"/>
    <w:rsid w:val="54D31799"/>
    <w:rsid w:val="54D42E60"/>
    <w:rsid w:val="54D85EF9"/>
    <w:rsid w:val="54DA6CB5"/>
    <w:rsid w:val="54EF76BF"/>
    <w:rsid w:val="54FB16B4"/>
    <w:rsid w:val="55175CA3"/>
    <w:rsid w:val="551958AB"/>
    <w:rsid w:val="552532F4"/>
    <w:rsid w:val="55293E97"/>
    <w:rsid w:val="553302FE"/>
    <w:rsid w:val="55503A4C"/>
    <w:rsid w:val="5559677F"/>
    <w:rsid w:val="556916CB"/>
    <w:rsid w:val="556B3DD3"/>
    <w:rsid w:val="556C6C91"/>
    <w:rsid w:val="55703AB0"/>
    <w:rsid w:val="557B2A48"/>
    <w:rsid w:val="557C3DE0"/>
    <w:rsid w:val="55802160"/>
    <w:rsid w:val="55810143"/>
    <w:rsid w:val="55880935"/>
    <w:rsid w:val="55950E89"/>
    <w:rsid w:val="55A053F0"/>
    <w:rsid w:val="55A709FA"/>
    <w:rsid w:val="55AF1D59"/>
    <w:rsid w:val="55BD1C96"/>
    <w:rsid w:val="55BD3D1B"/>
    <w:rsid w:val="55C925A5"/>
    <w:rsid w:val="55D04FA7"/>
    <w:rsid w:val="55D10548"/>
    <w:rsid w:val="55D447AC"/>
    <w:rsid w:val="55D63DC4"/>
    <w:rsid w:val="55DE605B"/>
    <w:rsid w:val="55E02A95"/>
    <w:rsid w:val="55EB0EEA"/>
    <w:rsid w:val="55F320AB"/>
    <w:rsid w:val="55F66FAB"/>
    <w:rsid w:val="55FA2A61"/>
    <w:rsid w:val="56022721"/>
    <w:rsid w:val="56027011"/>
    <w:rsid w:val="560A330E"/>
    <w:rsid w:val="560A3C55"/>
    <w:rsid w:val="561503C1"/>
    <w:rsid w:val="5623048D"/>
    <w:rsid w:val="562542D5"/>
    <w:rsid w:val="562A0401"/>
    <w:rsid w:val="56487F3B"/>
    <w:rsid w:val="564F0852"/>
    <w:rsid w:val="56500476"/>
    <w:rsid w:val="56552CA4"/>
    <w:rsid w:val="565A28D7"/>
    <w:rsid w:val="56712907"/>
    <w:rsid w:val="56795F40"/>
    <w:rsid w:val="569C525C"/>
    <w:rsid w:val="569F535E"/>
    <w:rsid w:val="56A81BD6"/>
    <w:rsid w:val="56AE49A7"/>
    <w:rsid w:val="56C314E7"/>
    <w:rsid w:val="56C5364A"/>
    <w:rsid w:val="56D20AB9"/>
    <w:rsid w:val="56DE58C4"/>
    <w:rsid w:val="56E74023"/>
    <w:rsid w:val="56EE2560"/>
    <w:rsid w:val="56F217F9"/>
    <w:rsid w:val="56F743DA"/>
    <w:rsid w:val="56FB1D20"/>
    <w:rsid w:val="5704607A"/>
    <w:rsid w:val="57325103"/>
    <w:rsid w:val="57364E86"/>
    <w:rsid w:val="57431ED8"/>
    <w:rsid w:val="57452A1C"/>
    <w:rsid w:val="574E16CD"/>
    <w:rsid w:val="574F2131"/>
    <w:rsid w:val="575771AE"/>
    <w:rsid w:val="57661E57"/>
    <w:rsid w:val="57781B3D"/>
    <w:rsid w:val="577A6FCA"/>
    <w:rsid w:val="577D3589"/>
    <w:rsid w:val="57C118B4"/>
    <w:rsid w:val="57CB3224"/>
    <w:rsid w:val="57DC5368"/>
    <w:rsid w:val="57F31969"/>
    <w:rsid w:val="580063AA"/>
    <w:rsid w:val="580231DE"/>
    <w:rsid w:val="58133B22"/>
    <w:rsid w:val="581933EA"/>
    <w:rsid w:val="582373F9"/>
    <w:rsid w:val="582A3BDD"/>
    <w:rsid w:val="58463632"/>
    <w:rsid w:val="58593565"/>
    <w:rsid w:val="588270BC"/>
    <w:rsid w:val="58852098"/>
    <w:rsid w:val="588852F4"/>
    <w:rsid w:val="588E4E28"/>
    <w:rsid w:val="588F269C"/>
    <w:rsid w:val="5895151E"/>
    <w:rsid w:val="58984200"/>
    <w:rsid w:val="58B80821"/>
    <w:rsid w:val="58C519A4"/>
    <w:rsid w:val="58CA2F87"/>
    <w:rsid w:val="58DE7320"/>
    <w:rsid w:val="58DF2AC0"/>
    <w:rsid w:val="58EF22D4"/>
    <w:rsid w:val="58F616D9"/>
    <w:rsid w:val="58FA709A"/>
    <w:rsid w:val="590536AB"/>
    <w:rsid w:val="59064C4D"/>
    <w:rsid w:val="592B0C8B"/>
    <w:rsid w:val="592B6B68"/>
    <w:rsid w:val="592F6750"/>
    <w:rsid w:val="594148F5"/>
    <w:rsid w:val="59475B85"/>
    <w:rsid w:val="594A2111"/>
    <w:rsid w:val="595950F3"/>
    <w:rsid w:val="595A3BE2"/>
    <w:rsid w:val="59612D31"/>
    <w:rsid w:val="59672EC6"/>
    <w:rsid w:val="596733BB"/>
    <w:rsid w:val="59801F8E"/>
    <w:rsid w:val="598F2A5E"/>
    <w:rsid w:val="59916E5A"/>
    <w:rsid w:val="599712B9"/>
    <w:rsid w:val="59980F51"/>
    <w:rsid w:val="59A8641A"/>
    <w:rsid w:val="59AD6D05"/>
    <w:rsid w:val="59BB491C"/>
    <w:rsid w:val="59C96AC3"/>
    <w:rsid w:val="59D7792D"/>
    <w:rsid w:val="59D9044E"/>
    <w:rsid w:val="59DA1DB7"/>
    <w:rsid w:val="59E528EA"/>
    <w:rsid w:val="59F20CA1"/>
    <w:rsid w:val="5A0708C9"/>
    <w:rsid w:val="5A174D40"/>
    <w:rsid w:val="5A1803E1"/>
    <w:rsid w:val="5A1D6DA8"/>
    <w:rsid w:val="5A225816"/>
    <w:rsid w:val="5A24385C"/>
    <w:rsid w:val="5A2B199B"/>
    <w:rsid w:val="5A33357F"/>
    <w:rsid w:val="5A3E5809"/>
    <w:rsid w:val="5A447E98"/>
    <w:rsid w:val="5A48150A"/>
    <w:rsid w:val="5A4A1ED7"/>
    <w:rsid w:val="5A514EFD"/>
    <w:rsid w:val="5A583A9D"/>
    <w:rsid w:val="5A5F305F"/>
    <w:rsid w:val="5A6348AE"/>
    <w:rsid w:val="5A777072"/>
    <w:rsid w:val="5A817BD7"/>
    <w:rsid w:val="5AB8276B"/>
    <w:rsid w:val="5AB858C2"/>
    <w:rsid w:val="5AC05663"/>
    <w:rsid w:val="5AC1087C"/>
    <w:rsid w:val="5AC97DB3"/>
    <w:rsid w:val="5AD0417F"/>
    <w:rsid w:val="5ADB38B7"/>
    <w:rsid w:val="5AE41E18"/>
    <w:rsid w:val="5AEB1793"/>
    <w:rsid w:val="5AF61F15"/>
    <w:rsid w:val="5AF77B58"/>
    <w:rsid w:val="5AF9341C"/>
    <w:rsid w:val="5B012B1A"/>
    <w:rsid w:val="5B0A3FC9"/>
    <w:rsid w:val="5B0C441E"/>
    <w:rsid w:val="5B150B4E"/>
    <w:rsid w:val="5B1559BE"/>
    <w:rsid w:val="5B464BE0"/>
    <w:rsid w:val="5B5409F4"/>
    <w:rsid w:val="5B575A3C"/>
    <w:rsid w:val="5B5A4D95"/>
    <w:rsid w:val="5B5A6193"/>
    <w:rsid w:val="5B5D4292"/>
    <w:rsid w:val="5B621386"/>
    <w:rsid w:val="5B7173D3"/>
    <w:rsid w:val="5B742570"/>
    <w:rsid w:val="5B755846"/>
    <w:rsid w:val="5B7E5605"/>
    <w:rsid w:val="5B8C0611"/>
    <w:rsid w:val="5B9727B9"/>
    <w:rsid w:val="5BA410B1"/>
    <w:rsid w:val="5BAC183B"/>
    <w:rsid w:val="5BAC1BA4"/>
    <w:rsid w:val="5BC362CA"/>
    <w:rsid w:val="5BC77EF7"/>
    <w:rsid w:val="5BC86926"/>
    <w:rsid w:val="5BC9068E"/>
    <w:rsid w:val="5BCB02CE"/>
    <w:rsid w:val="5BF50FBA"/>
    <w:rsid w:val="5BFE2634"/>
    <w:rsid w:val="5BFF3BEE"/>
    <w:rsid w:val="5C025EEA"/>
    <w:rsid w:val="5C081950"/>
    <w:rsid w:val="5C0C5FF7"/>
    <w:rsid w:val="5C1645C8"/>
    <w:rsid w:val="5C193451"/>
    <w:rsid w:val="5C1B1F96"/>
    <w:rsid w:val="5C1B4A42"/>
    <w:rsid w:val="5C1F5A5B"/>
    <w:rsid w:val="5C210D08"/>
    <w:rsid w:val="5C220984"/>
    <w:rsid w:val="5C292CFE"/>
    <w:rsid w:val="5C2D6133"/>
    <w:rsid w:val="5C2E1ADD"/>
    <w:rsid w:val="5C2E6842"/>
    <w:rsid w:val="5C323AAB"/>
    <w:rsid w:val="5C455555"/>
    <w:rsid w:val="5C4A2AF6"/>
    <w:rsid w:val="5C4D050F"/>
    <w:rsid w:val="5C6D04EF"/>
    <w:rsid w:val="5C71681F"/>
    <w:rsid w:val="5C741C2D"/>
    <w:rsid w:val="5C887C5C"/>
    <w:rsid w:val="5C894502"/>
    <w:rsid w:val="5C8E1CDD"/>
    <w:rsid w:val="5C9F0FE4"/>
    <w:rsid w:val="5CA278BD"/>
    <w:rsid w:val="5CAF5298"/>
    <w:rsid w:val="5CB13827"/>
    <w:rsid w:val="5CB858D0"/>
    <w:rsid w:val="5CBA6EAB"/>
    <w:rsid w:val="5CBE75F9"/>
    <w:rsid w:val="5CC86249"/>
    <w:rsid w:val="5CDA2EE0"/>
    <w:rsid w:val="5CE53CA2"/>
    <w:rsid w:val="5CF01781"/>
    <w:rsid w:val="5CF23A0D"/>
    <w:rsid w:val="5CF609CC"/>
    <w:rsid w:val="5CFD59AE"/>
    <w:rsid w:val="5CFD5B63"/>
    <w:rsid w:val="5D096AE9"/>
    <w:rsid w:val="5D1100A7"/>
    <w:rsid w:val="5D332CCB"/>
    <w:rsid w:val="5D4869F6"/>
    <w:rsid w:val="5D4D7284"/>
    <w:rsid w:val="5D5E5136"/>
    <w:rsid w:val="5D6309F6"/>
    <w:rsid w:val="5D694FE4"/>
    <w:rsid w:val="5D7C6D2F"/>
    <w:rsid w:val="5D8A7CB9"/>
    <w:rsid w:val="5D8E27B7"/>
    <w:rsid w:val="5D934584"/>
    <w:rsid w:val="5D95780C"/>
    <w:rsid w:val="5D982316"/>
    <w:rsid w:val="5DA30CE9"/>
    <w:rsid w:val="5DB671FF"/>
    <w:rsid w:val="5DCB223F"/>
    <w:rsid w:val="5DCB6C58"/>
    <w:rsid w:val="5DCF4540"/>
    <w:rsid w:val="5DDE7F73"/>
    <w:rsid w:val="5DE872EC"/>
    <w:rsid w:val="5DE90C56"/>
    <w:rsid w:val="5DF37E23"/>
    <w:rsid w:val="5DF724C2"/>
    <w:rsid w:val="5E007B7E"/>
    <w:rsid w:val="5E160347"/>
    <w:rsid w:val="5E1A7BDA"/>
    <w:rsid w:val="5E2E0EEE"/>
    <w:rsid w:val="5E31644D"/>
    <w:rsid w:val="5E486692"/>
    <w:rsid w:val="5E750C7B"/>
    <w:rsid w:val="5E797E2D"/>
    <w:rsid w:val="5E7C4D7D"/>
    <w:rsid w:val="5E8F3E28"/>
    <w:rsid w:val="5E930EE7"/>
    <w:rsid w:val="5E9B54A0"/>
    <w:rsid w:val="5E9F11E3"/>
    <w:rsid w:val="5E9F6706"/>
    <w:rsid w:val="5EAE1A11"/>
    <w:rsid w:val="5EBB2757"/>
    <w:rsid w:val="5EBD0B30"/>
    <w:rsid w:val="5EC95992"/>
    <w:rsid w:val="5ECA1ED0"/>
    <w:rsid w:val="5ED40048"/>
    <w:rsid w:val="5ED73C3F"/>
    <w:rsid w:val="5EE56C54"/>
    <w:rsid w:val="5EEC21B0"/>
    <w:rsid w:val="5EFA4714"/>
    <w:rsid w:val="5EFE40E4"/>
    <w:rsid w:val="5F0F403F"/>
    <w:rsid w:val="5F1C448C"/>
    <w:rsid w:val="5F1E561F"/>
    <w:rsid w:val="5F216CAC"/>
    <w:rsid w:val="5F3B249F"/>
    <w:rsid w:val="5F411714"/>
    <w:rsid w:val="5F58245B"/>
    <w:rsid w:val="5F601C40"/>
    <w:rsid w:val="5F614678"/>
    <w:rsid w:val="5F6D30CD"/>
    <w:rsid w:val="5F786032"/>
    <w:rsid w:val="5F7D5A04"/>
    <w:rsid w:val="5F7F4FFF"/>
    <w:rsid w:val="5F985FA4"/>
    <w:rsid w:val="5F9E773F"/>
    <w:rsid w:val="5F9F14FE"/>
    <w:rsid w:val="5FA10521"/>
    <w:rsid w:val="5FA11FC7"/>
    <w:rsid w:val="5FA23C4A"/>
    <w:rsid w:val="5FBF696C"/>
    <w:rsid w:val="5FC63357"/>
    <w:rsid w:val="5FCE637D"/>
    <w:rsid w:val="5FD65900"/>
    <w:rsid w:val="5FDB654B"/>
    <w:rsid w:val="5FE2624D"/>
    <w:rsid w:val="5FE37903"/>
    <w:rsid w:val="5FE57432"/>
    <w:rsid w:val="5FF655EF"/>
    <w:rsid w:val="5FFA63A1"/>
    <w:rsid w:val="5FFC7FF0"/>
    <w:rsid w:val="5FFD64D9"/>
    <w:rsid w:val="600546E5"/>
    <w:rsid w:val="600B5D8D"/>
    <w:rsid w:val="600F2A5A"/>
    <w:rsid w:val="600F6888"/>
    <w:rsid w:val="601951A8"/>
    <w:rsid w:val="602935CD"/>
    <w:rsid w:val="602A7FF4"/>
    <w:rsid w:val="602D558B"/>
    <w:rsid w:val="602E6AE5"/>
    <w:rsid w:val="603223E9"/>
    <w:rsid w:val="60382C28"/>
    <w:rsid w:val="603A0CF3"/>
    <w:rsid w:val="603A5AE0"/>
    <w:rsid w:val="6050117B"/>
    <w:rsid w:val="6051190E"/>
    <w:rsid w:val="60793F40"/>
    <w:rsid w:val="607B37F5"/>
    <w:rsid w:val="60867058"/>
    <w:rsid w:val="60917C3F"/>
    <w:rsid w:val="60A25E5B"/>
    <w:rsid w:val="60A601C6"/>
    <w:rsid w:val="60B00C83"/>
    <w:rsid w:val="60D2230F"/>
    <w:rsid w:val="60D643AB"/>
    <w:rsid w:val="60E33D97"/>
    <w:rsid w:val="60E7446C"/>
    <w:rsid w:val="60FD1433"/>
    <w:rsid w:val="61006226"/>
    <w:rsid w:val="6103297E"/>
    <w:rsid w:val="61032CFE"/>
    <w:rsid w:val="6105155B"/>
    <w:rsid w:val="610C12CB"/>
    <w:rsid w:val="610C7715"/>
    <w:rsid w:val="61146F89"/>
    <w:rsid w:val="61190890"/>
    <w:rsid w:val="611E765E"/>
    <w:rsid w:val="611F660B"/>
    <w:rsid w:val="612E62A0"/>
    <w:rsid w:val="61334A90"/>
    <w:rsid w:val="61366D98"/>
    <w:rsid w:val="613A0139"/>
    <w:rsid w:val="61434DA1"/>
    <w:rsid w:val="61471C84"/>
    <w:rsid w:val="614D5113"/>
    <w:rsid w:val="61586C5F"/>
    <w:rsid w:val="615D7115"/>
    <w:rsid w:val="615E4DF2"/>
    <w:rsid w:val="617E6FD3"/>
    <w:rsid w:val="618163CD"/>
    <w:rsid w:val="61843DE4"/>
    <w:rsid w:val="61955B93"/>
    <w:rsid w:val="61A46EB4"/>
    <w:rsid w:val="61B21E3E"/>
    <w:rsid w:val="61B3181F"/>
    <w:rsid w:val="61BE3624"/>
    <w:rsid w:val="61C82173"/>
    <w:rsid w:val="61C82EFA"/>
    <w:rsid w:val="61D30E53"/>
    <w:rsid w:val="61D46F85"/>
    <w:rsid w:val="61E32247"/>
    <w:rsid w:val="61E3448E"/>
    <w:rsid w:val="61EC6D74"/>
    <w:rsid w:val="61FA3A14"/>
    <w:rsid w:val="621D0657"/>
    <w:rsid w:val="62235B9A"/>
    <w:rsid w:val="622D71B1"/>
    <w:rsid w:val="62300DF2"/>
    <w:rsid w:val="624E464A"/>
    <w:rsid w:val="624F0552"/>
    <w:rsid w:val="6254078D"/>
    <w:rsid w:val="625D7BAB"/>
    <w:rsid w:val="627C135A"/>
    <w:rsid w:val="62843DF5"/>
    <w:rsid w:val="62854BB9"/>
    <w:rsid w:val="628610B5"/>
    <w:rsid w:val="62B20280"/>
    <w:rsid w:val="62BC4AA2"/>
    <w:rsid w:val="62BE7A4A"/>
    <w:rsid w:val="62C04FAC"/>
    <w:rsid w:val="62C677B5"/>
    <w:rsid w:val="62F05069"/>
    <w:rsid w:val="63030ED1"/>
    <w:rsid w:val="630323D5"/>
    <w:rsid w:val="63033C4A"/>
    <w:rsid w:val="63067390"/>
    <w:rsid w:val="630D62C2"/>
    <w:rsid w:val="63145DF5"/>
    <w:rsid w:val="63357785"/>
    <w:rsid w:val="6343554C"/>
    <w:rsid w:val="6345104C"/>
    <w:rsid w:val="6345240D"/>
    <w:rsid w:val="6358683A"/>
    <w:rsid w:val="636C5D39"/>
    <w:rsid w:val="63763ECB"/>
    <w:rsid w:val="637C19ED"/>
    <w:rsid w:val="6396166A"/>
    <w:rsid w:val="63970E21"/>
    <w:rsid w:val="639F1FDE"/>
    <w:rsid w:val="63A1335C"/>
    <w:rsid w:val="63B105D2"/>
    <w:rsid w:val="63B33AFA"/>
    <w:rsid w:val="63C12ACA"/>
    <w:rsid w:val="63C21551"/>
    <w:rsid w:val="63D2739A"/>
    <w:rsid w:val="63DD5BDF"/>
    <w:rsid w:val="63F769B7"/>
    <w:rsid w:val="63FA1465"/>
    <w:rsid w:val="63FA6B5D"/>
    <w:rsid w:val="63FC707C"/>
    <w:rsid w:val="640027D6"/>
    <w:rsid w:val="640529E1"/>
    <w:rsid w:val="6409168B"/>
    <w:rsid w:val="64141A66"/>
    <w:rsid w:val="641E16C0"/>
    <w:rsid w:val="6422259E"/>
    <w:rsid w:val="64234664"/>
    <w:rsid w:val="643E1665"/>
    <w:rsid w:val="644142F7"/>
    <w:rsid w:val="64471332"/>
    <w:rsid w:val="64495ECB"/>
    <w:rsid w:val="645A4B38"/>
    <w:rsid w:val="645B7E1E"/>
    <w:rsid w:val="645F2161"/>
    <w:rsid w:val="64670323"/>
    <w:rsid w:val="646803D5"/>
    <w:rsid w:val="64734F13"/>
    <w:rsid w:val="64930DA9"/>
    <w:rsid w:val="64A20CD1"/>
    <w:rsid w:val="64B507F6"/>
    <w:rsid w:val="64BA28E1"/>
    <w:rsid w:val="64C43EE2"/>
    <w:rsid w:val="64CB4381"/>
    <w:rsid w:val="64D74EBC"/>
    <w:rsid w:val="64DB2FAC"/>
    <w:rsid w:val="64EE3E97"/>
    <w:rsid w:val="64F667B6"/>
    <w:rsid w:val="64F7591D"/>
    <w:rsid w:val="65031C4D"/>
    <w:rsid w:val="650825BB"/>
    <w:rsid w:val="650E1C96"/>
    <w:rsid w:val="65155CA4"/>
    <w:rsid w:val="651A073C"/>
    <w:rsid w:val="651D3F71"/>
    <w:rsid w:val="653463FD"/>
    <w:rsid w:val="6535156E"/>
    <w:rsid w:val="653A01D5"/>
    <w:rsid w:val="653E129D"/>
    <w:rsid w:val="654D352B"/>
    <w:rsid w:val="655A3B80"/>
    <w:rsid w:val="655A52BA"/>
    <w:rsid w:val="655D6A08"/>
    <w:rsid w:val="6562562A"/>
    <w:rsid w:val="65625F2C"/>
    <w:rsid w:val="65854212"/>
    <w:rsid w:val="658748E7"/>
    <w:rsid w:val="65954270"/>
    <w:rsid w:val="6595757F"/>
    <w:rsid w:val="659E2ACE"/>
    <w:rsid w:val="65B538AE"/>
    <w:rsid w:val="65BD3BDB"/>
    <w:rsid w:val="65DF5C56"/>
    <w:rsid w:val="65E24AA6"/>
    <w:rsid w:val="65F30469"/>
    <w:rsid w:val="66086EE9"/>
    <w:rsid w:val="66127966"/>
    <w:rsid w:val="661F6702"/>
    <w:rsid w:val="66401EFC"/>
    <w:rsid w:val="66444885"/>
    <w:rsid w:val="66511947"/>
    <w:rsid w:val="665133B7"/>
    <w:rsid w:val="66523B6B"/>
    <w:rsid w:val="66527E00"/>
    <w:rsid w:val="66684604"/>
    <w:rsid w:val="666A0397"/>
    <w:rsid w:val="6678600F"/>
    <w:rsid w:val="668052D9"/>
    <w:rsid w:val="668C05BE"/>
    <w:rsid w:val="668F7897"/>
    <w:rsid w:val="669865C1"/>
    <w:rsid w:val="669B7077"/>
    <w:rsid w:val="66AC731E"/>
    <w:rsid w:val="66AE2ECB"/>
    <w:rsid w:val="66B71097"/>
    <w:rsid w:val="66BD61AC"/>
    <w:rsid w:val="66C03F10"/>
    <w:rsid w:val="66CE6E51"/>
    <w:rsid w:val="66D833C1"/>
    <w:rsid w:val="66D900B5"/>
    <w:rsid w:val="66DC554E"/>
    <w:rsid w:val="66E40746"/>
    <w:rsid w:val="66FE3871"/>
    <w:rsid w:val="66FE76A8"/>
    <w:rsid w:val="671337CD"/>
    <w:rsid w:val="67134C6C"/>
    <w:rsid w:val="671664C1"/>
    <w:rsid w:val="67226D82"/>
    <w:rsid w:val="673875B1"/>
    <w:rsid w:val="673D29AC"/>
    <w:rsid w:val="673D5359"/>
    <w:rsid w:val="673E3D5B"/>
    <w:rsid w:val="674B7738"/>
    <w:rsid w:val="674D600B"/>
    <w:rsid w:val="675A1D8C"/>
    <w:rsid w:val="675C6551"/>
    <w:rsid w:val="676B189A"/>
    <w:rsid w:val="676B7046"/>
    <w:rsid w:val="6776002A"/>
    <w:rsid w:val="67785E2F"/>
    <w:rsid w:val="67824817"/>
    <w:rsid w:val="67875C3D"/>
    <w:rsid w:val="678D4652"/>
    <w:rsid w:val="679A2053"/>
    <w:rsid w:val="679B1AAB"/>
    <w:rsid w:val="67AF196E"/>
    <w:rsid w:val="67B050F7"/>
    <w:rsid w:val="67C80429"/>
    <w:rsid w:val="67E42062"/>
    <w:rsid w:val="67E438C8"/>
    <w:rsid w:val="67ED72CF"/>
    <w:rsid w:val="680622D3"/>
    <w:rsid w:val="68117BDC"/>
    <w:rsid w:val="68170FDB"/>
    <w:rsid w:val="68176330"/>
    <w:rsid w:val="681B7D49"/>
    <w:rsid w:val="682217B3"/>
    <w:rsid w:val="68352DFF"/>
    <w:rsid w:val="68384319"/>
    <w:rsid w:val="684D7DB6"/>
    <w:rsid w:val="68533B6F"/>
    <w:rsid w:val="68551BD3"/>
    <w:rsid w:val="68575F24"/>
    <w:rsid w:val="68642196"/>
    <w:rsid w:val="68675618"/>
    <w:rsid w:val="68717655"/>
    <w:rsid w:val="687A4953"/>
    <w:rsid w:val="68801EB0"/>
    <w:rsid w:val="6881729C"/>
    <w:rsid w:val="6884112B"/>
    <w:rsid w:val="688443BB"/>
    <w:rsid w:val="68873C30"/>
    <w:rsid w:val="689177B0"/>
    <w:rsid w:val="689B7152"/>
    <w:rsid w:val="689C608B"/>
    <w:rsid w:val="68A7069E"/>
    <w:rsid w:val="68B11B86"/>
    <w:rsid w:val="68CC4D36"/>
    <w:rsid w:val="68DB23D2"/>
    <w:rsid w:val="68DC688E"/>
    <w:rsid w:val="68E10939"/>
    <w:rsid w:val="68EE0408"/>
    <w:rsid w:val="68F67ABB"/>
    <w:rsid w:val="68FB6806"/>
    <w:rsid w:val="69002F28"/>
    <w:rsid w:val="69226AFB"/>
    <w:rsid w:val="69243A3E"/>
    <w:rsid w:val="69251F3B"/>
    <w:rsid w:val="692577FC"/>
    <w:rsid w:val="69287011"/>
    <w:rsid w:val="69314C69"/>
    <w:rsid w:val="693D1D22"/>
    <w:rsid w:val="69446968"/>
    <w:rsid w:val="694D4481"/>
    <w:rsid w:val="69544A8B"/>
    <w:rsid w:val="69564BAC"/>
    <w:rsid w:val="695B1CAB"/>
    <w:rsid w:val="69620CF6"/>
    <w:rsid w:val="696857B8"/>
    <w:rsid w:val="696F2CE3"/>
    <w:rsid w:val="6971643D"/>
    <w:rsid w:val="69720949"/>
    <w:rsid w:val="69735F0D"/>
    <w:rsid w:val="699960A9"/>
    <w:rsid w:val="69A264CB"/>
    <w:rsid w:val="69A839A5"/>
    <w:rsid w:val="69A844D1"/>
    <w:rsid w:val="69B60A27"/>
    <w:rsid w:val="69C60B59"/>
    <w:rsid w:val="69CE3FF3"/>
    <w:rsid w:val="69E03D20"/>
    <w:rsid w:val="69F2682F"/>
    <w:rsid w:val="69F76BF6"/>
    <w:rsid w:val="69FE2A23"/>
    <w:rsid w:val="6A042B4D"/>
    <w:rsid w:val="6A086DBA"/>
    <w:rsid w:val="6A0D1AEC"/>
    <w:rsid w:val="6A167DB7"/>
    <w:rsid w:val="6A240F13"/>
    <w:rsid w:val="6A5F0759"/>
    <w:rsid w:val="6A617FD0"/>
    <w:rsid w:val="6A672102"/>
    <w:rsid w:val="6A762264"/>
    <w:rsid w:val="6A867826"/>
    <w:rsid w:val="6A8725E1"/>
    <w:rsid w:val="6A985F07"/>
    <w:rsid w:val="6A9E190F"/>
    <w:rsid w:val="6AA2173C"/>
    <w:rsid w:val="6AA64DF9"/>
    <w:rsid w:val="6AAD67AF"/>
    <w:rsid w:val="6AB16610"/>
    <w:rsid w:val="6AB21BDE"/>
    <w:rsid w:val="6AB542D4"/>
    <w:rsid w:val="6ABD3BAD"/>
    <w:rsid w:val="6AC00730"/>
    <w:rsid w:val="6ACD4456"/>
    <w:rsid w:val="6ADA7450"/>
    <w:rsid w:val="6ADD5ECB"/>
    <w:rsid w:val="6ADF0D91"/>
    <w:rsid w:val="6AEE6650"/>
    <w:rsid w:val="6AF32D63"/>
    <w:rsid w:val="6AFA0153"/>
    <w:rsid w:val="6AFF2AB6"/>
    <w:rsid w:val="6B217D59"/>
    <w:rsid w:val="6B273BAB"/>
    <w:rsid w:val="6B376D61"/>
    <w:rsid w:val="6B431B69"/>
    <w:rsid w:val="6B4D46B1"/>
    <w:rsid w:val="6B624182"/>
    <w:rsid w:val="6B646821"/>
    <w:rsid w:val="6B6E6F96"/>
    <w:rsid w:val="6B6F1397"/>
    <w:rsid w:val="6B7D3277"/>
    <w:rsid w:val="6B8A6C02"/>
    <w:rsid w:val="6B8C1866"/>
    <w:rsid w:val="6BA65A1A"/>
    <w:rsid w:val="6BB738A3"/>
    <w:rsid w:val="6BBD79E1"/>
    <w:rsid w:val="6BCB2F5E"/>
    <w:rsid w:val="6BD74317"/>
    <w:rsid w:val="6BD95AA2"/>
    <w:rsid w:val="6BEF086B"/>
    <w:rsid w:val="6BF64405"/>
    <w:rsid w:val="6C0341CA"/>
    <w:rsid w:val="6C0F2517"/>
    <w:rsid w:val="6C184383"/>
    <w:rsid w:val="6C2039E7"/>
    <w:rsid w:val="6C2740C8"/>
    <w:rsid w:val="6C297B7F"/>
    <w:rsid w:val="6C343A4D"/>
    <w:rsid w:val="6C447E3B"/>
    <w:rsid w:val="6C466665"/>
    <w:rsid w:val="6C466A45"/>
    <w:rsid w:val="6C703341"/>
    <w:rsid w:val="6C743AB6"/>
    <w:rsid w:val="6C744384"/>
    <w:rsid w:val="6C7E43E8"/>
    <w:rsid w:val="6C7F2654"/>
    <w:rsid w:val="6C903B49"/>
    <w:rsid w:val="6C954743"/>
    <w:rsid w:val="6C971151"/>
    <w:rsid w:val="6C977F03"/>
    <w:rsid w:val="6C9D5B5E"/>
    <w:rsid w:val="6CA95196"/>
    <w:rsid w:val="6CBE4F8C"/>
    <w:rsid w:val="6CCB13A7"/>
    <w:rsid w:val="6CCD23DE"/>
    <w:rsid w:val="6CDF5DF0"/>
    <w:rsid w:val="6CEA0193"/>
    <w:rsid w:val="6CEC52BE"/>
    <w:rsid w:val="6CF9516A"/>
    <w:rsid w:val="6D145B29"/>
    <w:rsid w:val="6D1926AC"/>
    <w:rsid w:val="6D226B8B"/>
    <w:rsid w:val="6D253CC5"/>
    <w:rsid w:val="6D29026C"/>
    <w:rsid w:val="6D352078"/>
    <w:rsid w:val="6D3E6A7B"/>
    <w:rsid w:val="6D4708C3"/>
    <w:rsid w:val="6D4A7364"/>
    <w:rsid w:val="6D4C0A34"/>
    <w:rsid w:val="6D53514A"/>
    <w:rsid w:val="6D66406D"/>
    <w:rsid w:val="6D801033"/>
    <w:rsid w:val="6D803FDB"/>
    <w:rsid w:val="6D963159"/>
    <w:rsid w:val="6DA22A9E"/>
    <w:rsid w:val="6DAB2B01"/>
    <w:rsid w:val="6DB938FC"/>
    <w:rsid w:val="6DC215A5"/>
    <w:rsid w:val="6DE971F7"/>
    <w:rsid w:val="6DEB5369"/>
    <w:rsid w:val="6DF24BA5"/>
    <w:rsid w:val="6DFD0CDE"/>
    <w:rsid w:val="6E006B72"/>
    <w:rsid w:val="6E046245"/>
    <w:rsid w:val="6E077517"/>
    <w:rsid w:val="6E082F71"/>
    <w:rsid w:val="6E0D648D"/>
    <w:rsid w:val="6E10605C"/>
    <w:rsid w:val="6E1F36E7"/>
    <w:rsid w:val="6E2717FC"/>
    <w:rsid w:val="6E3017F9"/>
    <w:rsid w:val="6E453998"/>
    <w:rsid w:val="6E4C1D09"/>
    <w:rsid w:val="6E522052"/>
    <w:rsid w:val="6E542B6F"/>
    <w:rsid w:val="6E5D547C"/>
    <w:rsid w:val="6E5F052D"/>
    <w:rsid w:val="6E7A35FB"/>
    <w:rsid w:val="6E80722C"/>
    <w:rsid w:val="6E8B7237"/>
    <w:rsid w:val="6E907890"/>
    <w:rsid w:val="6E9555DA"/>
    <w:rsid w:val="6E9A4CA4"/>
    <w:rsid w:val="6EB03021"/>
    <w:rsid w:val="6EB7553D"/>
    <w:rsid w:val="6EBB635F"/>
    <w:rsid w:val="6EBC3E7B"/>
    <w:rsid w:val="6EBE3FA2"/>
    <w:rsid w:val="6EC46F66"/>
    <w:rsid w:val="6EDD6D3C"/>
    <w:rsid w:val="6EED473B"/>
    <w:rsid w:val="6F052E85"/>
    <w:rsid w:val="6F0A07DE"/>
    <w:rsid w:val="6F10657A"/>
    <w:rsid w:val="6F1A1B25"/>
    <w:rsid w:val="6F274DEF"/>
    <w:rsid w:val="6F2F4B24"/>
    <w:rsid w:val="6F3F001B"/>
    <w:rsid w:val="6F5C4BF3"/>
    <w:rsid w:val="6F6B6286"/>
    <w:rsid w:val="6F6C0161"/>
    <w:rsid w:val="6F7C57FD"/>
    <w:rsid w:val="6F7F5999"/>
    <w:rsid w:val="6F813CAD"/>
    <w:rsid w:val="6F886784"/>
    <w:rsid w:val="6F9F1EB0"/>
    <w:rsid w:val="6FB04336"/>
    <w:rsid w:val="6FC42374"/>
    <w:rsid w:val="6FF85244"/>
    <w:rsid w:val="700E1F60"/>
    <w:rsid w:val="702360D2"/>
    <w:rsid w:val="702537FB"/>
    <w:rsid w:val="70352019"/>
    <w:rsid w:val="703A3FDB"/>
    <w:rsid w:val="703E0DF7"/>
    <w:rsid w:val="70460445"/>
    <w:rsid w:val="70485023"/>
    <w:rsid w:val="705E0E59"/>
    <w:rsid w:val="705E6B16"/>
    <w:rsid w:val="7068274F"/>
    <w:rsid w:val="70753B16"/>
    <w:rsid w:val="709373CB"/>
    <w:rsid w:val="70A92F2D"/>
    <w:rsid w:val="70AA0FCF"/>
    <w:rsid w:val="70B35585"/>
    <w:rsid w:val="70B96D69"/>
    <w:rsid w:val="70BD3F1C"/>
    <w:rsid w:val="70BF4BCE"/>
    <w:rsid w:val="70D862FD"/>
    <w:rsid w:val="70E604B5"/>
    <w:rsid w:val="70E83D8D"/>
    <w:rsid w:val="70F87DA6"/>
    <w:rsid w:val="7104512E"/>
    <w:rsid w:val="710D0E19"/>
    <w:rsid w:val="711248E3"/>
    <w:rsid w:val="71153F5B"/>
    <w:rsid w:val="711C5E1D"/>
    <w:rsid w:val="712C16D9"/>
    <w:rsid w:val="713536DC"/>
    <w:rsid w:val="71354A85"/>
    <w:rsid w:val="713B13EF"/>
    <w:rsid w:val="71406460"/>
    <w:rsid w:val="71532342"/>
    <w:rsid w:val="71551BD5"/>
    <w:rsid w:val="71581796"/>
    <w:rsid w:val="715A1E8C"/>
    <w:rsid w:val="715B44C2"/>
    <w:rsid w:val="715B59BF"/>
    <w:rsid w:val="71663D62"/>
    <w:rsid w:val="71675A44"/>
    <w:rsid w:val="716F500A"/>
    <w:rsid w:val="717678FF"/>
    <w:rsid w:val="71810E7F"/>
    <w:rsid w:val="71915F60"/>
    <w:rsid w:val="71951C5C"/>
    <w:rsid w:val="71B53A4F"/>
    <w:rsid w:val="71C304AF"/>
    <w:rsid w:val="71D54CCD"/>
    <w:rsid w:val="71F0523D"/>
    <w:rsid w:val="71F953F7"/>
    <w:rsid w:val="72117AE4"/>
    <w:rsid w:val="721B3303"/>
    <w:rsid w:val="721C2CB0"/>
    <w:rsid w:val="721E561F"/>
    <w:rsid w:val="7224146C"/>
    <w:rsid w:val="72267D9D"/>
    <w:rsid w:val="722F73E8"/>
    <w:rsid w:val="723D7912"/>
    <w:rsid w:val="7245115D"/>
    <w:rsid w:val="72675CBB"/>
    <w:rsid w:val="72754FE2"/>
    <w:rsid w:val="727B3FE8"/>
    <w:rsid w:val="729970BB"/>
    <w:rsid w:val="72A628B9"/>
    <w:rsid w:val="72AE2DB1"/>
    <w:rsid w:val="72BE1940"/>
    <w:rsid w:val="72BE79B7"/>
    <w:rsid w:val="72CC3F8A"/>
    <w:rsid w:val="72D2660C"/>
    <w:rsid w:val="72D848AE"/>
    <w:rsid w:val="72D954CD"/>
    <w:rsid w:val="72E20ED4"/>
    <w:rsid w:val="72E60468"/>
    <w:rsid w:val="73094746"/>
    <w:rsid w:val="7315299F"/>
    <w:rsid w:val="73201E58"/>
    <w:rsid w:val="73252F34"/>
    <w:rsid w:val="732649B0"/>
    <w:rsid w:val="733210DE"/>
    <w:rsid w:val="736718CA"/>
    <w:rsid w:val="73673299"/>
    <w:rsid w:val="73714384"/>
    <w:rsid w:val="7375373A"/>
    <w:rsid w:val="737712AA"/>
    <w:rsid w:val="73866B24"/>
    <w:rsid w:val="739F73E0"/>
    <w:rsid w:val="73B90DE6"/>
    <w:rsid w:val="73C7769A"/>
    <w:rsid w:val="73DD7280"/>
    <w:rsid w:val="73E34EDE"/>
    <w:rsid w:val="73F03DC7"/>
    <w:rsid w:val="73F33AE2"/>
    <w:rsid w:val="74110EC0"/>
    <w:rsid w:val="74270FCC"/>
    <w:rsid w:val="742743FA"/>
    <w:rsid w:val="74283B0C"/>
    <w:rsid w:val="74335A84"/>
    <w:rsid w:val="74357FD8"/>
    <w:rsid w:val="74375B65"/>
    <w:rsid w:val="743E6AD1"/>
    <w:rsid w:val="74465F45"/>
    <w:rsid w:val="7455205C"/>
    <w:rsid w:val="74587939"/>
    <w:rsid w:val="745E2DB2"/>
    <w:rsid w:val="746B1E2A"/>
    <w:rsid w:val="746E48F0"/>
    <w:rsid w:val="747943ED"/>
    <w:rsid w:val="748A30EE"/>
    <w:rsid w:val="74950D27"/>
    <w:rsid w:val="74956BAB"/>
    <w:rsid w:val="749F3B31"/>
    <w:rsid w:val="74A00EA9"/>
    <w:rsid w:val="74A40EAA"/>
    <w:rsid w:val="74A62583"/>
    <w:rsid w:val="74A844D0"/>
    <w:rsid w:val="74B15459"/>
    <w:rsid w:val="74BB1AE3"/>
    <w:rsid w:val="74CB008A"/>
    <w:rsid w:val="74CB44C0"/>
    <w:rsid w:val="74CF23D2"/>
    <w:rsid w:val="74DB681C"/>
    <w:rsid w:val="74DE16C3"/>
    <w:rsid w:val="74DE49AB"/>
    <w:rsid w:val="74E86DEC"/>
    <w:rsid w:val="74EA0FA4"/>
    <w:rsid w:val="74ED4E1E"/>
    <w:rsid w:val="75012DC8"/>
    <w:rsid w:val="75091167"/>
    <w:rsid w:val="751E0922"/>
    <w:rsid w:val="751E5B6C"/>
    <w:rsid w:val="75446CF2"/>
    <w:rsid w:val="75450E5C"/>
    <w:rsid w:val="75462A1B"/>
    <w:rsid w:val="754C2B34"/>
    <w:rsid w:val="75545C5D"/>
    <w:rsid w:val="75660AA2"/>
    <w:rsid w:val="756B4972"/>
    <w:rsid w:val="757C483F"/>
    <w:rsid w:val="758C6DAD"/>
    <w:rsid w:val="758F6214"/>
    <w:rsid w:val="75952755"/>
    <w:rsid w:val="75990E91"/>
    <w:rsid w:val="759A6BA3"/>
    <w:rsid w:val="75AA0E85"/>
    <w:rsid w:val="75BD1968"/>
    <w:rsid w:val="75C32CE1"/>
    <w:rsid w:val="75D90059"/>
    <w:rsid w:val="75E33AB4"/>
    <w:rsid w:val="75E67B2B"/>
    <w:rsid w:val="75FD5649"/>
    <w:rsid w:val="760A4523"/>
    <w:rsid w:val="760B31CC"/>
    <w:rsid w:val="761B2425"/>
    <w:rsid w:val="762846B8"/>
    <w:rsid w:val="7635792C"/>
    <w:rsid w:val="764A5B21"/>
    <w:rsid w:val="765B0198"/>
    <w:rsid w:val="767876B0"/>
    <w:rsid w:val="76A0573C"/>
    <w:rsid w:val="76B66404"/>
    <w:rsid w:val="76B73A85"/>
    <w:rsid w:val="76BC203B"/>
    <w:rsid w:val="76C64EAF"/>
    <w:rsid w:val="76C95A6D"/>
    <w:rsid w:val="76CB5639"/>
    <w:rsid w:val="76D84A3D"/>
    <w:rsid w:val="76E40907"/>
    <w:rsid w:val="76EF105C"/>
    <w:rsid w:val="76EF68E5"/>
    <w:rsid w:val="76F1492D"/>
    <w:rsid w:val="76F23784"/>
    <w:rsid w:val="76F30352"/>
    <w:rsid w:val="76F61E6B"/>
    <w:rsid w:val="76FC591F"/>
    <w:rsid w:val="7717182D"/>
    <w:rsid w:val="77197B00"/>
    <w:rsid w:val="771B5C7F"/>
    <w:rsid w:val="7722007A"/>
    <w:rsid w:val="772F0407"/>
    <w:rsid w:val="7733236D"/>
    <w:rsid w:val="7735029F"/>
    <w:rsid w:val="773A4772"/>
    <w:rsid w:val="774378FF"/>
    <w:rsid w:val="77444AC5"/>
    <w:rsid w:val="775766A7"/>
    <w:rsid w:val="77591F39"/>
    <w:rsid w:val="775E2EB8"/>
    <w:rsid w:val="7765601C"/>
    <w:rsid w:val="776C151F"/>
    <w:rsid w:val="77761F60"/>
    <w:rsid w:val="77882D05"/>
    <w:rsid w:val="77894DAF"/>
    <w:rsid w:val="779113C4"/>
    <w:rsid w:val="77973B3B"/>
    <w:rsid w:val="779D6354"/>
    <w:rsid w:val="779F5F65"/>
    <w:rsid w:val="77A6520A"/>
    <w:rsid w:val="77AB07A1"/>
    <w:rsid w:val="77B27C11"/>
    <w:rsid w:val="77B430E2"/>
    <w:rsid w:val="77D606BB"/>
    <w:rsid w:val="77D71A25"/>
    <w:rsid w:val="77D85783"/>
    <w:rsid w:val="77DD5B59"/>
    <w:rsid w:val="77DE6871"/>
    <w:rsid w:val="77E51D24"/>
    <w:rsid w:val="77E959AF"/>
    <w:rsid w:val="77F30381"/>
    <w:rsid w:val="77F6495E"/>
    <w:rsid w:val="77FE55BD"/>
    <w:rsid w:val="781C34BC"/>
    <w:rsid w:val="78200E6C"/>
    <w:rsid w:val="783156C9"/>
    <w:rsid w:val="783211A1"/>
    <w:rsid w:val="78332589"/>
    <w:rsid w:val="7834300A"/>
    <w:rsid w:val="783A0A34"/>
    <w:rsid w:val="783C2D6E"/>
    <w:rsid w:val="783C61CC"/>
    <w:rsid w:val="78470E9E"/>
    <w:rsid w:val="786E38AA"/>
    <w:rsid w:val="786F5C8C"/>
    <w:rsid w:val="78706322"/>
    <w:rsid w:val="788075B7"/>
    <w:rsid w:val="788E7C14"/>
    <w:rsid w:val="788F2480"/>
    <w:rsid w:val="7894010C"/>
    <w:rsid w:val="789800C4"/>
    <w:rsid w:val="789B7A1A"/>
    <w:rsid w:val="789F1963"/>
    <w:rsid w:val="78A66331"/>
    <w:rsid w:val="78B73A0C"/>
    <w:rsid w:val="78C76E25"/>
    <w:rsid w:val="78CC43CD"/>
    <w:rsid w:val="78CD7AE3"/>
    <w:rsid w:val="78EA7272"/>
    <w:rsid w:val="78EB5977"/>
    <w:rsid w:val="78FC7A22"/>
    <w:rsid w:val="791A06FE"/>
    <w:rsid w:val="7930309B"/>
    <w:rsid w:val="79343980"/>
    <w:rsid w:val="79384AEB"/>
    <w:rsid w:val="7943203D"/>
    <w:rsid w:val="79582425"/>
    <w:rsid w:val="797E0996"/>
    <w:rsid w:val="79892C94"/>
    <w:rsid w:val="79A83845"/>
    <w:rsid w:val="79AF3083"/>
    <w:rsid w:val="79B0084B"/>
    <w:rsid w:val="79B45443"/>
    <w:rsid w:val="79BA03C6"/>
    <w:rsid w:val="79BA116F"/>
    <w:rsid w:val="79C760BB"/>
    <w:rsid w:val="79D54A17"/>
    <w:rsid w:val="79D61BB6"/>
    <w:rsid w:val="79FB2C9A"/>
    <w:rsid w:val="7A082FDC"/>
    <w:rsid w:val="7A165982"/>
    <w:rsid w:val="7A1A5C22"/>
    <w:rsid w:val="7A1B49A0"/>
    <w:rsid w:val="7A263458"/>
    <w:rsid w:val="7A2E70D6"/>
    <w:rsid w:val="7A3A2621"/>
    <w:rsid w:val="7A4243AE"/>
    <w:rsid w:val="7A490096"/>
    <w:rsid w:val="7A4A0ED9"/>
    <w:rsid w:val="7A5952E7"/>
    <w:rsid w:val="7A695068"/>
    <w:rsid w:val="7A6F29A1"/>
    <w:rsid w:val="7A7071EF"/>
    <w:rsid w:val="7A8C6282"/>
    <w:rsid w:val="7A9B09A5"/>
    <w:rsid w:val="7AA378FA"/>
    <w:rsid w:val="7AA77895"/>
    <w:rsid w:val="7AA844CA"/>
    <w:rsid w:val="7AAA2CD2"/>
    <w:rsid w:val="7AAF1DD3"/>
    <w:rsid w:val="7AB33333"/>
    <w:rsid w:val="7AB369F9"/>
    <w:rsid w:val="7AC71BB7"/>
    <w:rsid w:val="7AC7211A"/>
    <w:rsid w:val="7ACE0A78"/>
    <w:rsid w:val="7ACE73F4"/>
    <w:rsid w:val="7ACF0EE0"/>
    <w:rsid w:val="7AD1797B"/>
    <w:rsid w:val="7AD97C13"/>
    <w:rsid w:val="7AE5456E"/>
    <w:rsid w:val="7AED576F"/>
    <w:rsid w:val="7AFB1103"/>
    <w:rsid w:val="7B0B1031"/>
    <w:rsid w:val="7B166879"/>
    <w:rsid w:val="7B1B026C"/>
    <w:rsid w:val="7B284986"/>
    <w:rsid w:val="7B2D4C4C"/>
    <w:rsid w:val="7B2F021C"/>
    <w:rsid w:val="7B512A6C"/>
    <w:rsid w:val="7B5302CE"/>
    <w:rsid w:val="7B5307EB"/>
    <w:rsid w:val="7B7112A6"/>
    <w:rsid w:val="7B731127"/>
    <w:rsid w:val="7B7D323C"/>
    <w:rsid w:val="7B812B23"/>
    <w:rsid w:val="7B870A57"/>
    <w:rsid w:val="7B8C1947"/>
    <w:rsid w:val="7B900DFB"/>
    <w:rsid w:val="7BAC0477"/>
    <w:rsid w:val="7BAC6733"/>
    <w:rsid w:val="7BBD3BAF"/>
    <w:rsid w:val="7BC13200"/>
    <w:rsid w:val="7BD96C97"/>
    <w:rsid w:val="7BEF7AA8"/>
    <w:rsid w:val="7BF52543"/>
    <w:rsid w:val="7BFA13DB"/>
    <w:rsid w:val="7C0004DA"/>
    <w:rsid w:val="7C0627E4"/>
    <w:rsid w:val="7C064E4B"/>
    <w:rsid w:val="7C155A5E"/>
    <w:rsid w:val="7C1B295B"/>
    <w:rsid w:val="7C1E523A"/>
    <w:rsid w:val="7C346BE3"/>
    <w:rsid w:val="7C4A155C"/>
    <w:rsid w:val="7C5476CE"/>
    <w:rsid w:val="7C566541"/>
    <w:rsid w:val="7C685468"/>
    <w:rsid w:val="7C7E5F45"/>
    <w:rsid w:val="7C96346D"/>
    <w:rsid w:val="7C9A4ABE"/>
    <w:rsid w:val="7CA1097A"/>
    <w:rsid w:val="7CA11C62"/>
    <w:rsid w:val="7CA334EA"/>
    <w:rsid w:val="7CB761E8"/>
    <w:rsid w:val="7CB96BA4"/>
    <w:rsid w:val="7CCF4804"/>
    <w:rsid w:val="7CDB1001"/>
    <w:rsid w:val="7CEE2FDF"/>
    <w:rsid w:val="7CF53AD3"/>
    <w:rsid w:val="7D027B95"/>
    <w:rsid w:val="7D0B7331"/>
    <w:rsid w:val="7D196C8E"/>
    <w:rsid w:val="7D1E7FD3"/>
    <w:rsid w:val="7D226D5C"/>
    <w:rsid w:val="7D2C3FD1"/>
    <w:rsid w:val="7D5F37E9"/>
    <w:rsid w:val="7D735D27"/>
    <w:rsid w:val="7D7A5511"/>
    <w:rsid w:val="7D920629"/>
    <w:rsid w:val="7D966334"/>
    <w:rsid w:val="7D984666"/>
    <w:rsid w:val="7D990D6F"/>
    <w:rsid w:val="7DB74EA4"/>
    <w:rsid w:val="7DD71447"/>
    <w:rsid w:val="7DDA68F3"/>
    <w:rsid w:val="7DDD716D"/>
    <w:rsid w:val="7DE220FD"/>
    <w:rsid w:val="7DE25387"/>
    <w:rsid w:val="7DE559D9"/>
    <w:rsid w:val="7DE65EEE"/>
    <w:rsid w:val="7DF21E76"/>
    <w:rsid w:val="7DFB3AE4"/>
    <w:rsid w:val="7E107486"/>
    <w:rsid w:val="7E142D26"/>
    <w:rsid w:val="7E161E98"/>
    <w:rsid w:val="7E1834A3"/>
    <w:rsid w:val="7E2B2F00"/>
    <w:rsid w:val="7E3544AB"/>
    <w:rsid w:val="7E377F1B"/>
    <w:rsid w:val="7E4B7ECB"/>
    <w:rsid w:val="7E540D44"/>
    <w:rsid w:val="7E57719C"/>
    <w:rsid w:val="7E6719C0"/>
    <w:rsid w:val="7E802760"/>
    <w:rsid w:val="7E9B38FE"/>
    <w:rsid w:val="7EC144A8"/>
    <w:rsid w:val="7ECA13D3"/>
    <w:rsid w:val="7ED25445"/>
    <w:rsid w:val="7ED7053B"/>
    <w:rsid w:val="7EE26C5A"/>
    <w:rsid w:val="7EE842B2"/>
    <w:rsid w:val="7EF4336B"/>
    <w:rsid w:val="7EFB44E7"/>
    <w:rsid w:val="7F0E620B"/>
    <w:rsid w:val="7F0F2B03"/>
    <w:rsid w:val="7F112228"/>
    <w:rsid w:val="7F140E92"/>
    <w:rsid w:val="7F2E1322"/>
    <w:rsid w:val="7F3062EE"/>
    <w:rsid w:val="7F3B789E"/>
    <w:rsid w:val="7F3F7AE3"/>
    <w:rsid w:val="7F5053F4"/>
    <w:rsid w:val="7F5A20E3"/>
    <w:rsid w:val="7F68418F"/>
    <w:rsid w:val="7F6874E4"/>
    <w:rsid w:val="7F6A0464"/>
    <w:rsid w:val="7F6A3C9F"/>
    <w:rsid w:val="7F6B4FF6"/>
    <w:rsid w:val="7F6D1280"/>
    <w:rsid w:val="7F833EDA"/>
    <w:rsid w:val="7F906083"/>
    <w:rsid w:val="7F9376B3"/>
    <w:rsid w:val="7FA00F85"/>
    <w:rsid w:val="7FAD2551"/>
    <w:rsid w:val="7FAF2DF8"/>
    <w:rsid w:val="7FC27E9B"/>
    <w:rsid w:val="7FCA59B6"/>
    <w:rsid w:val="7FD0349B"/>
    <w:rsid w:val="7FDC67D5"/>
    <w:rsid w:val="7FE93671"/>
    <w:rsid w:val="7FF60ACA"/>
    <w:rsid w:val="7FF84A28"/>
    <w:rsid w:val="7FF91955"/>
    <w:rsid w:val="7FFE501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35"/>
    <w:qFormat/>
    <w:uiPriority w:val="1"/>
    <w:pPr>
      <w:keepNext/>
      <w:keepLines/>
      <w:spacing w:before="50" w:beforeLines="50" w:after="100" w:afterLines="100" w:line="360" w:lineRule="auto"/>
      <w:jc w:val="center"/>
      <w:outlineLvl w:val="0"/>
    </w:pPr>
    <w:rPr>
      <w:rFonts w:eastAsia="黑体"/>
      <w:b/>
      <w:bCs/>
      <w:kern w:val="44"/>
      <w:sz w:val="32"/>
      <w:szCs w:val="44"/>
    </w:rPr>
  </w:style>
  <w:style w:type="paragraph" w:styleId="3">
    <w:name w:val="heading 2"/>
    <w:basedOn w:val="1"/>
    <w:next w:val="1"/>
    <w:link w:val="27"/>
    <w:qFormat/>
    <w:uiPriority w:val="1"/>
    <w:pPr>
      <w:keepNext/>
      <w:keepLines/>
      <w:spacing w:before="50" w:beforeLines="50" w:after="50" w:afterLines="50" w:line="360" w:lineRule="auto"/>
      <w:ind w:firstLine="960" w:firstLineChars="200"/>
      <w:outlineLvl w:val="1"/>
    </w:pPr>
    <w:rPr>
      <w:rFonts w:ascii="Cambria" w:hAnsi="Cambria" w:eastAsia="黑体" w:cs="Times New Roman"/>
      <w:b/>
      <w:bCs/>
      <w:sz w:val="28"/>
      <w:szCs w:val="32"/>
    </w:rPr>
  </w:style>
  <w:style w:type="paragraph" w:styleId="4">
    <w:name w:val="heading 3"/>
    <w:basedOn w:val="1"/>
    <w:next w:val="1"/>
    <w:link w:val="28"/>
    <w:qFormat/>
    <w:uiPriority w:val="1"/>
    <w:pPr>
      <w:keepNext/>
      <w:keepLines/>
      <w:spacing w:line="360" w:lineRule="auto"/>
      <w:outlineLvl w:val="2"/>
    </w:pPr>
    <w:rPr>
      <w:rFonts w:eastAsia="黑体"/>
      <w:b/>
      <w:bCs/>
      <w:sz w:val="24"/>
      <w:szCs w:val="32"/>
    </w:rPr>
  </w:style>
  <w:style w:type="paragraph" w:styleId="5">
    <w:name w:val="heading 5"/>
    <w:basedOn w:val="1"/>
    <w:next w:val="1"/>
    <w:link w:val="29"/>
    <w:qFormat/>
    <w:uiPriority w:val="9"/>
    <w:pPr>
      <w:keepNext/>
      <w:keepLines/>
      <w:spacing w:before="280" w:after="290" w:line="376" w:lineRule="auto"/>
      <w:outlineLvl w:val="4"/>
    </w:pPr>
    <w:rPr>
      <w:b/>
      <w:bCs/>
      <w:sz w:val="28"/>
      <w:szCs w:val="28"/>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6">
    <w:name w:val="Body Text"/>
    <w:basedOn w:val="1"/>
    <w:link w:val="25"/>
    <w:unhideWhenUsed/>
    <w:qFormat/>
    <w:uiPriority w:val="1"/>
    <w:pPr>
      <w:spacing w:after="120"/>
    </w:pPr>
  </w:style>
  <w:style w:type="paragraph" w:styleId="7">
    <w:name w:val="Date"/>
    <w:basedOn w:val="1"/>
    <w:next w:val="1"/>
    <w:link w:val="30"/>
    <w:unhideWhenUsed/>
    <w:qFormat/>
    <w:uiPriority w:val="99"/>
    <w:pPr>
      <w:ind w:left="100" w:leftChars="2500"/>
    </w:pPr>
  </w:style>
  <w:style w:type="paragraph" w:styleId="8">
    <w:name w:val="endnote text"/>
    <w:basedOn w:val="1"/>
    <w:unhideWhenUsed/>
    <w:qFormat/>
    <w:uiPriority w:val="99"/>
    <w:pPr>
      <w:snapToGrid w:val="0"/>
      <w:jc w:val="left"/>
    </w:pPr>
  </w:style>
  <w:style w:type="paragraph" w:styleId="9">
    <w:name w:val="Balloon Text"/>
    <w:basedOn w:val="1"/>
    <w:link w:val="31"/>
    <w:unhideWhenUsed/>
    <w:qFormat/>
    <w:uiPriority w:val="99"/>
    <w:rPr>
      <w:sz w:val="18"/>
      <w:szCs w:val="18"/>
    </w:rPr>
  </w:style>
  <w:style w:type="paragraph" w:styleId="10">
    <w:name w:val="footer"/>
    <w:basedOn w:val="1"/>
    <w:link w:val="32"/>
    <w:unhideWhenUsed/>
    <w:qFormat/>
    <w:uiPriority w:val="99"/>
    <w:pPr>
      <w:tabs>
        <w:tab w:val="center" w:pos="4153"/>
        <w:tab w:val="right" w:pos="8306"/>
      </w:tabs>
      <w:snapToGrid w:val="0"/>
      <w:jc w:val="left"/>
    </w:pPr>
    <w:rPr>
      <w:sz w:val="18"/>
      <w:szCs w:val="18"/>
    </w:rPr>
  </w:style>
  <w:style w:type="paragraph" w:styleId="11">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footnote text"/>
    <w:basedOn w:val="1"/>
    <w:link w:val="34"/>
    <w:unhideWhenUsed/>
    <w:qFormat/>
    <w:uiPriority w:val="99"/>
    <w:pPr>
      <w:snapToGrid w:val="0"/>
      <w:jc w:val="left"/>
    </w:pPr>
    <w:rPr>
      <w:sz w:val="18"/>
      <w:szCs w:val="18"/>
    </w:rPr>
  </w:style>
  <w:style w:type="paragraph" w:styleId="14">
    <w:name w:val="toc 2"/>
    <w:basedOn w:val="1"/>
    <w:next w:val="1"/>
    <w:unhideWhenUsed/>
    <w:qFormat/>
    <w:uiPriority w:val="39"/>
    <w:pPr>
      <w:ind w:left="420" w:leftChars="200"/>
    </w:pPr>
  </w:style>
  <w:style w:type="paragraph" w:styleId="15">
    <w:name w:val="Normal (Web)"/>
    <w:basedOn w:val="1"/>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16">
    <w:name w:val="Body Text First Indent"/>
    <w:basedOn w:val="6"/>
    <w:unhideWhenUsed/>
    <w:qFormat/>
    <w:uiPriority w:val="99"/>
    <w:pPr>
      <w:ind w:firstLine="420" w:firstLineChars="100"/>
    </w:p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rPr>
  </w:style>
  <w:style w:type="character" w:styleId="21">
    <w:name w:val="endnote reference"/>
    <w:basedOn w:val="19"/>
    <w:unhideWhenUsed/>
    <w:qFormat/>
    <w:uiPriority w:val="99"/>
    <w:rPr>
      <w:vertAlign w:val="superscript"/>
    </w:rPr>
  </w:style>
  <w:style w:type="character" w:styleId="22">
    <w:name w:val="Hyperlink"/>
    <w:unhideWhenUsed/>
    <w:qFormat/>
    <w:uiPriority w:val="99"/>
    <w:rPr>
      <w:color w:val="0000FF"/>
      <w:u w:val="single"/>
    </w:rPr>
  </w:style>
  <w:style w:type="character" w:styleId="23">
    <w:name w:val="annotation reference"/>
    <w:basedOn w:val="19"/>
    <w:semiHidden/>
    <w:unhideWhenUsed/>
    <w:qFormat/>
    <w:uiPriority w:val="99"/>
    <w:rPr>
      <w:sz w:val="21"/>
      <w:szCs w:val="21"/>
    </w:rPr>
  </w:style>
  <w:style w:type="character" w:styleId="24">
    <w:name w:val="footnote reference"/>
    <w:unhideWhenUsed/>
    <w:qFormat/>
    <w:uiPriority w:val="99"/>
    <w:rPr>
      <w:vertAlign w:val="superscript"/>
    </w:rPr>
  </w:style>
  <w:style w:type="character" w:customStyle="1" w:styleId="25">
    <w:name w:val="正文文本 字符"/>
    <w:basedOn w:val="19"/>
    <w:link w:val="6"/>
    <w:qFormat/>
    <w:uiPriority w:val="99"/>
  </w:style>
  <w:style w:type="character" w:customStyle="1" w:styleId="26">
    <w:name w:val="标题 1 Char"/>
    <w:link w:val="2"/>
    <w:qFormat/>
    <w:uiPriority w:val="9"/>
    <w:rPr>
      <w:rFonts w:eastAsia="黑体"/>
      <w:b/>
      <w:bCs/>
      <w:kern w:val="44"/>
      <w:sz w:val="32"/>
      <w:szCs w:val="44"/>
    </w:rPr>
  </w:style>
  <w:style w:type="character" w:customStyle="1" w:styleId="27">
    <w:name w:val="标题 2 字符"/>
    <w:link w:val="3"/>
    <w:semiHidden/>
    <w:qFormat/>
    <w:uiPriority w:val="9"/>
    <w:rPr>
      <w:rFonts w:ascii="Cambria" w:hAnsi="Cambria" w:eastAsia="黑体" w:cs="Times New Roman"/>
      <w:b/>
      <w:bCs/>
      <w:sz w:val="28"/>
      <w:szCs w:val="32"/>
    </w:rPr>
  </w:style>
  <w:style w:type="character" w:customStyle="1" w:styleId="28">
    <w:name w:val="标题 3 字符"/>
    <w:link w:val="4"/>
    <w:semiHidden/>
    <w:qFormat/>
    <w:uiPriority w:val="9"/>
    <w:rPr>
      <w:rFonts w:eastAsia="黑体"/>
      <w:b/>
      <w:bCs/>
      <w:sz w:val="24"/>
      <w:szCs w:val="32"/>
    </w:rPr>
  </w:style>
  <w:style w:type="character" w:customStyle="1" w:styleId="29">
    <w:name w:val="标题 5 字符"/>
    <w:link w:val="5"/>
    <w:semiHidden/>
    <w:qFormat/>
    <w:uiPriority w:val="9"/>
    <w:rPr>
      <w:b/>
      <w:bCs/>
      <w:sz w:val="28"/>
      <w:szCs w:val="28"/>
    </w:rPr>
  </w:style>
  <w:style w:type="character" w:customStyle="1" w:styleId="30">
    <w:name w:val="日期 字符"/>
    <w:link w:val="7"/>
    <w:semiHidden/>
    <w:qFormat/>
    <w:uiPriority w:val="99"/>
    <w:rPr>
      <w:rFonts w:ascii="Calibri" w:hAnsi="Calibri"/>
      <w:kern w:val="2"/>
      <w:sz w:val="21"/>
      <w:szCs w:val="22"/>
    </w:rPr>
  </w:style>
  <w:style w:type="character" w:customStyle="1" w:styleId="31">
    <w:name w:val="批注框文本 字符"/>
    <w:link w:val="9"/>
    <w:semiHidden/>
    <w:qFormat/>
    <w:uiPriority w:val="99"/>
    <w:rPr>
      <w:sz w:val="18"/>
      <w:szCs w:val="18"/>
    </w:rPr>
  </w:style>
  <w:style w:type="character" w:customStyle="1" w:styleId="32">
    <w:name w:val="页脚 字符"/>
    <w:link w:val="10"/>
    <w:qFormat/>
    <w:uiPriority w:val="99"/>
    <w:rPr>
      <w:sz w:val="18"/>
      <w:szCs w:val="18"/>
    </w:rPr>
  </w:style>
  <w:style w:type="character" w:customStyle="1" w:styleId="33">
    <w:name w:val="页眉 字符"/>
    <w:link w:val="11"/>
    <w:qFormat/>
    <w:uiPriority w:val="99"/>
    <w:rPr>
      <w:sz w:val="18"/>
      <w:szCs w:val="18"/>
    </w:rPr>
  </w:style>
  <w:style w:type="character" w:customStyle="1" w:styleId="34">
    <w:name w:val="脚注文本 字符"/>
    <w:link w:val="13"/>
    <w:semiHidden/>
    <w:qFormat/>
    <w:uiPriority w:val="99"/>
    <w:rPr>
      <w:sz w:val="18"/>
      <w:szCs w:val="18"/>
    </w:rPr>
  </w:style>
  <w:style w:type="character" w:customStyle="1" w:styleId="35">
    <w:name w:val="标题 1 字符"/>
    <w:link w:val="2"/>
    <w:qFormat/>
    <w:uiPriority w:val="9"/>
    <w:rPr>
      <w:b/>
      <w:bCs/>
      <w:kern w:val="44"/>
      <w:sz w:val="44"/>
      <w:szCs w:val="44"/>
    </w:rPr>
  </w:style>
  <w:style w:type="paragraph" w:customStyle="1" w:styleId="36">
    <w:name w:val="表和图标题"/>
    <w:basedOn w:val="1"/>
    <w:link w:val="37"/>
    <w:qFormat/>
    <w:uiPriority w:val="0"/>
  </w:style>
  <w:style w:type="character" w:customStyle="1" w:styleId="37">
    <w:name w:val="表和图标题 Char"/>
    <w:link w:val="36"/>
    <w:qFormat/>
    <w:uiPriority w:val="0"/>
  </w:style>
  <w:style w:type="paragraph" w:customStyle="1" w:styleId="38">
    <w:name w:val="我的表格"/>
    <w:basedOn w:val="1"/>
    <w:qFormat/>
    <w:uiPriority w:val="0"/>
    <w:pPr>
      <w:pBdr>
        <w:top w:val="none" w:color="auto" w:sz="0" w:space="1"/>
        <w:left w:val="none" w:color="auto" w:sz="0" w:space="4"/>
        <w:bottom w:val="none" w:color="auto" w:sz="0" w:space="1"/>
        <w:right w:val="none" w:color="auto" w:sz="0" w:space="4"/>
      </w:pBdr>
      <w:spacing w:line="240" w:lineRule="auto"/>
      <w:ind w:firstLine="0" w:firstLineChars="0"/>
      <w:jc w:val="center"/>
    </w:pPr>
    <w:rPr>
      <w:rFonts w:ascii="宋体" w:hAnsi="宋体" w:cs="宋体"/>
      <w:sz w:val="21"/>
      <w:szCs w:val="21"/>
    </w:rPr>
  </w:style>
  <w:style w:type="character" w:customStyle="1" w:styleId="39">
    <w:name w:val="font31"/>
    <w:basedOn w:val="19"/>
    <w:qFormat/>
    <w:uiPriority w:val="0"/>
    <w:rPr>
      <w:rFonts w:hint="eastAsia" w:ascii="宋体" w:hAnsi="宋体" w:eastAsia="宋体" w:cs="宋体"/>
      <w:b/>
      <w:color w:val="000000"/>
      <w:sz w:val="21"/>
      <w:szCs w:val="21"/>
      <w:u w:val="none"/>
    </w:rPr>
  </w:style>
  <w:style w:type="paragraph" w:customStyle="1" w:styleId="40">
    <w:name w:val="样式2"/>
    <w:basedOn w:val="1"/>
    <w:qFormat/>
    <w:uiPriority w:val="0"/>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vsbcontent_star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5">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paragraph" w:customStyle="1" w:styleId="46">
    <w:name w:val="列出段落1"/>
    <w:basedOn w:val="1"/>
    <w:qFormat/>
    <w:uiPriority w:val="1"/>
    <w:pPr>
      <w:ind w:firstLine="420" w:firstLineChars="200"/>
    </w:pPr>
  </w:style>
  <w:style w:type="paragraph" w:customStyle="1" w:styleId="47">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styleId="48">
    <w:name w:val="List Paragraph"/>
    <w:basedOn w:val="1"/>
    <w:qFormat/>
    <w:uiPriority w:val="1"/>
    <w:pPr>
      <w:ind w:left="1218" w:hanging="282"/>
      <w:jc w:val="both"/>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chart" Target="charts/chart92.xml"/><Relationship Id="rId98" Type="http://schemas.openxmlformats.org/officeDocument/2006/relationships/chart" Target="charts/chart91.xml"/><Relationship Id="rId97" Type="http://schemas.openxmlformats.org/officeDocument/2006/relationships/chart" Target="charts/chart90.xml"/><Relationship Id="rId96" Type="http://schemas.openxmlformats.org/officeDocument/2006/relationships/chart" Target="charts/chart89.xml"/><Relationship Id="rId95" Type="http://schemas.openxmlformats.org/officeDocument/2006/relationships/chart" Target="charts/chart88.xml"/><Relationship Id="rId94" Type="http://schemas.openxmlformats.org/officeDocument/2006/relationships/chart" Target="charts/chart87.xml"/><Relationship Id="rId93" Type="http://schemas.openxmlformats.org/officeDocument/2006/relationships/chart" Target="charts/chart86.xml"/><Relationship Id="rId92" Type="http://schemas.openxmlformats.org/officeDocument/2006/relationships/chart" Target="charts/chart85.xml"/><Relationship Id="rId91" Type="http://schemas.openxmlformats.org/officeDocument/2006/relationships/chart" Target="charts/chart84.xml"/><Relationship Id="rId90" Type="http://schemas.openxmlformats.org/officeDocument/2006/relationships/chart" Target="charts/chart83.xml"/><Relationship Id="rId9" Type="http://schemas.openxmlformats.org/officeDocument/2006/relationships/chart" Target="charts/chart2.xml"/><Relationship Id="rId89" Type="http://schemas.openxmlformats.org/officeDocument/2006/relationships/chart" Target="charts/chart82.xml"/><Relationship Id="rId88" Type="http://schemas.openxmlformats.org/officeDocument/2006/relationships/chart" Target="charts/chart81.xml"/><Relationship Id="rId87" Type="http://schemas.openxmlformats.org/officeDocument/2006/relationships/chart" Target="charts/chart80.xml"/><Relationship Id="rId86" Type="http://schemas.openxmlformats.org/officeDocument/2006/relationships/chart" Target="charts/chart79.xml"/><Relationship Id="rId85" Type="http://schemas.openxmlformats.org/officeDocument/2006/relationships/chart" Target="charts/chart78.xml"/><Relationship Id="rId84" Type="http://schemas.openxmlformats.org/officeDocument/2006/relationships/chart" Target="charts/chart77.xml"/><Relationship Id="rId83" Type="http://schemas.openxmlformats.org/officeDocument/2006/relationships/chart" Target="charts/chart76.xml"/><Relationship Id="rId82" Type="http://schemas.openxmlformats.org/officeDocument/2006/relationships/chart" Target="charts/chart75.xml"/><Relationship Id="rId81" Type="http://schemas.openxmlformats.org/officeDocument/2006/relationships/chart" Target="charts/chart74.xml"/><Relationship Id="rId80" Type="http://schemas.openxmlformats.org/officeDocument/2006/relationships/chart" Target="charts/chart73.xml"/><Relationship Id="rId8" Type="http://schemas.openxmlformats.org/officeDocument/2006/relationships/chart" Target="charts/chart1.xml"/><Relationship Id="rId79" Type="http://schemas.openxmlformats.org/officeDocument/2006/relationships/chart" Target="charts/chart72.xml"/><Relationship Id="rId78" Type="http://schemas.openxmlformats.org/officeDocument/2006/relationships/chart" Target="charts/chart71.xml"/><Relationship Id="rId77" Type="http://schemas.openxmlformats.org/officeDocument/2006/relationships/chart" Target="charts/chart70.xml"/><Relationship Id="rId76" Type="http://schemas.openxmlformats.org/officeDocument/2006/relationships/chart" Target="charts/chart69.xml"/><Relationship Id="rId75" Type="http://schemas.openxmlformats.org/officeDocument/2006/relationships/chart" Target="charts/chart68.xml"/><Relationship Id="rId74" Type="http://schemas.openxmlformats.org/officeDocument/2006/relationships/chart" Target="charts/chart67.xml"/><Relationship Id="rId73" Type="http://schemas.openxmlformats.org/officeDocument/2006/relationships/chart" Target="charts/chart66.xml"/><Relationship Id="rId72" Type="http://schemas.openxmlformats.org/officeDocument/2006/relationships/chart" Target="charts/chart65.xml"/><Relationship Id="rId71" Type="http://schemas.openxmlformats.org/officeDocument/2006/relationships/chart" Target="charts/chart64.xml"/><Relationship Id="rId70" Type="http://schemas.openxmlformats.org/officeDocument/2006/relationships/chart" Target="charts/chart63.xml"/><Relationship Id="rId7" Type="http://schemas.openxmlformats.org/officeDocument/2006/relationships/theme" Target="theme/theme1.xml"/><Relationship Id="rId69" Type="http://schemas.openxmlformats.org/officeDocument/2006/relationships/chart" Target="charts/chart62.xml"/><Relationship Id="rId68" Type="http://schemas.openxmlformats.org/officeDocument/2006/relationships/chart" Target="charts/chart61.xml"/><Relationship Id="rId67" Type="http://schemas.openxmlformats.org/officeDocument/2006/relationships/chart" Target="charts/chart60.xml"/><Relationship Id="rId66" Type="http://schemas.openxmlformats.org/officeDocument/2006/relationships/chart" Target="charts/chart59.xml"/><Relationship Id="rId65" Type="http://schemas.openxmlformats.org/officeDocument/2006/relationships/chart" Target="charts/chart58.xml"/><Relationship Id="rId64" Type="http://schemas.openxmlformats.org/officeDocument/2006/relationships/chart" Target="charts/chart57.xml"/><Relationship Id="rId63" Type="http://schemas.openxmlformats.org/officeDocument/2006/relationships/chart" Target="charts/chart56.xml"/><Relationship Id="rId62" Type="http://schemas.openxmlformats.org/officeDocument/2006/relationships/chart" Target="charts/chart55.xml"/><Relationship Id="rId61" Type="http://schemas.openxmlformats.org/officeDocument/2006/relationships/chart" Target="charts/chart54.xml"/><Relationship Id="rId60" Type="http://schemas.openxmlformats.org/officeDocument/2006/relationships/chart" Target="charts/chart53.xml"/><Relationship Id="rId6" Type="http://schemas.openxmlformats.org/officeDocument/2006/relationships/footer" Target="footer1.xml"/><Relationship Id="rId59" Type="http://schemas.openxmlformats.org/officeDocument/2006/relationships/chart" Target="charts/chart52.xml"/><Relationship Id="rId58" Type="http://schemas.openxmlformats.org/officeDocument/2006/relationships/chart" Target="charts/chart51.xml"/><Relationship Id="rId57" Type="http://schemas.openxmlformats.org/officeDocument/2006/relationships/chart" Target="charts/chart50.xml"/><Relationship Id="rId56" Type="http://schemas.openxmlformats.org/officeDocument/2006/relationships/chart" Target="charts/chart49.xml"/><Relationship Id="rId55" Type="http://schemas.openxmlformats.org/officeDocument/2006/relationships/chart" Target="charts/chart48.xml"/><Relationship Id="rId54" Type="http://schemas.openxmlformats.org/officeDocument/2006/relationships/chart" Target="charts/chart47.xml"/><Relationship Id="rId53" Type="http://schemas.openxmlformats.org/officeDocument/2006/relationships/chart" Target="charts/chart46.xml"/><Relationship Id="rId52" Type="http://schemas.openxmlformats.org/officeDocument/2006/relationships/chart" Target="charts/chart45.xml"/><Relationship Id="rId51" Type="http://schemas.openxmlformats.org/officeDocument/2006/relationships/chart" Target="charts/chart44.xml"/><Relationship Id="rId50" Type="http://schemas.openxmlformats.org/officeDocument/2006/relationships/chart" Target="charts/chart43.xml"/><Relationship Id="rId5" Type="http://schemas.openxmlformats.org/officeDocument/2006/relationships/header" Target="header1.xml"/><Relationship Id="rId49" Type="http://schemas.openxmlformats.org/officeDocument/2006/relationships/chart" Target="charts/chart42.xml"/><Relationship Id="rId48" Type="http://schemas.openxmlformats.org/officeDocument/2006/relationships/chart" Target="charts/chart41.xml"/><Relationship Id="rId47" Type="http://schemas.openxmlformats.org/officeDocument/2006/relationships/chart" Target="charts/chart40.xml"/><Relationship Id="rId46" Type="http://schemas.openxmlformats.org/officeDocument/2006/relationships/chart" Target="charts/chart39.xml"/><Relationship Id="rId45" Type="http://schemas.openxmlformats.org/officeDocument/2006/relationships/chart" Target="charts/chart38.xml"/><Relationship Id="rId44" Type="http://schemas.openxmlformats.org/officeDocument/2006/relationships/chart" Target="charts/chart37.xml"/><Relationship Id="rId43" Type="http://schemas.openxmlformats.org/officeDocument/2006/relationships/chart" Target="charts/chart36.xml"/><Relationship Id="rId42" Type="http://schemas.openxmlformats.org/officeDocument/2006/relationships/chart" Target="charts/chart35.xml"/><Relationship Id="rId41" Type="http://schemas.openxmlformats.org/officeDocument/2006/relationships/chart" Target="charts/chart34.xml"/><Relationship Id="rId40" Type="http://schemas.openxmlformats.org/officeDocument/2006/relationships/chart" Target="charts/chart33.xml"/><Relationship Id="rId4" Type="http://schemas.openxmlformats.org/officeDocument/2006/relationships/endnotes" Target="endnotes.xml"/><Relationship Id="rId39" Type="http://schemas.openxmlformats.org/officeDocument/2006/relationships/chart" Target="charts/chart32.xml"/><Relationship Id="rId38" Type="http://schemas.openxmlformats.org/officeDocument/2006/relationships/chart" Target="charts/chart31.xml"/><Relationship Id="rId37" Type="http://schemas.openxmlformats.org/officeDocument/2006/relationships/chart" Target="charts/chart30.xml"/><Relationship Id="rId36" Type="http://schemas.openxmlformats.org/officeDocument/2006/relationships/chart" Target="charts/chart29.xml"/><Relationship Id="rId35" Type="http://schemas.openxmlformats.org/officeDocument/2006/relationships/chart" Target="charts/chart28.xml"/><Relationship Id="rId34" Type="http://schemas.openxmlformats.org/officeDocument/2006/relationships/chart" Target="charts/chart27.xml"/><Relationship Id="rId33" Type="http://schemas.openxmlformats.org/officeDocument/2006/relationships/chart" Target="charts/chart26.xml"/><Relationship Id="rId32" Type="http://schemas.openxmlformats.org/officeDocument/2006/relationships/chart" Target="charts/chart25.xml"/><Relationship Id="rId31" Type="http://schemas.openxmlformats.org/officeDocument/2006/relationships/chart" Target="charts/chart24.xml"/><Relationship Id="rId30" Type="http://schemas.openxmlformats.org/officeDocument/2006/relationships/chart" Target="charts/chart23.xml"/><Relationship Id="rId3" Type="http://schemas.openxmlformats.org/officeDocument/2006/relationships/footnotes" Target="footnotes.xml"/><Relationship Id="rId29" Type="http://schemas.openxmlformats.org/officeDocument/2006/relationships/chart" Target="charts/chart22.xml"/><Relationship Id="rId28" Type="http://schemas.openxmlformats.org/officeDocument/2006/relationships/chart" Target="charts/chart21.xml"/><Relationship Id="rId27" Type="http://schemas.openxmlformats.org/officeDocument/2006/relationships/chart" Target="charts/chart20.xml"/><Relationship Id="rId26" Type="http://schemas.openxmlformats.org/officeDocument/2006/relationships/chart" Target="charts/chart19.xml"/><Relationship Id="rId25" Type="http://schemas.openxmlformats.org/officeDocument/2006/relationships/chart" Target="charts/chart18.xml"/><Relationship Id="rId24" Type="http://schemas.openxmlformats.org/officeDocument/2006/relationships/chart" Target="charts/chart17.xml"/><Relationship Id="rId23" Type="http://schemas.openxmlformats.org/officeDocument/2006/relationships/chart" Target="charts/chart16.xml"/><Relationship Id="rId22" Type="http://schemas.openxmlformats.org/officeDocument/2006/relationships/chart" Target="charts/chart15.xml"/><Relationship Id="rId21" Type="http://schemas.openxmlformats.org/officeDocument/2006/relationships/chart" Target="charts/chart14.xml"/><Relationship Id="rId20" Type="http://schemas.openxmlformats.org/officeDocument/2006/relationships/chart" Target="charts/chart13.xml"/><Relationship Id="rId2" Type="http://schemas.openxmlformats.org/officeDocument/2006/relationships/settings" Target="settings.xml"/><Relationship Id="rId19" Type="http://schemas.openxmlformats.org/officeDocument/2006/relationships/chart" Target="charts/chart12.xml"/><Relationship Id="rId18" Type="http://schemas.openxmlformats.org/officeDocument/2006/relationships/chart" Target="charts/chart11.xml"/><Relationship Id="rId17" Type="http://schemas.openxmlformats.org/officeDocument/2006/relationships/chart" Target="charts/chart10.xml"/><Relationship Id="rId16" Type="http://schemas.openxmlformats.org/officeDocument/2006/relationships/chart" Target="charts/chart9.xml"/><Relationship Id="rId15" Type="http://schemas.openxmlformats.org/officeDocument/2006/relationships/chart" Target="charts/chart8.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chart" Target="charts/chart4.xml"/><Relationship Id="rId109" Type="http://schemas.openxmlformats.org/officeDocument/2006/relationships/customXml" Target="../customXml/item1.xml"/><Relationship Id="rId108" Type="http://schemas.openxmlformats.org/officeDocument/2006/relationships/chart" Target="charts/chart101.xml"/><Relationship Id="rId107" Type="http://schemas.openxmlformats.org/officeDocument/2006/relationships/chart" Target="charts/chart100.xml"/><Relationship Id="rId106" Type="http://schemas.openxmlformats.org/officeDocument/2006/relationships/chart" Target="charts/chart99.xml"/><Relationship Id="rId105" Type="http://schemas.openxmlformats.org/officeDocument/2006/relationships/chart" Target="charts/chart98.xml"/><Relationship Id="rId104" Type="http://schemas.openxmlformats.org/officeDocument/2006/relationships/chart" Target="charts/chart97.xml"/><Relationship Id="rId103" Type="http://schemas.openxmlformats.org/officeDocument/2006/relationships/chart" Target="charts/chart96.xml"/><Relationship Id="rId102" Type="http://schemas.openxmlformats.org/officeDocument/2006/relationships/chart" Target="charts/chart95.xml"/><Relationship Id="rId101" Type="http://schemas.openxmlformats.org/officeDocument/2006/relationships/chart" Target="charts/chart94.xml"/><Relationship Id="rId100" Type="http://schemas.openxmlformats.org/officeDocument/2006/relationships/chart" Target="charts/chart93.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9.xml"/><Relationship Id="rId4" Type="http://schemas.microsoft.com/office/2011/relationships/chartStyle" Target="style9.xml"/><Relationship Id="rId3" Type="http://schemas.openxmlformats.org/officeDocument/2006/relationships/image" Target="../media/image2.png"/><Relationship Id="rId2" Type="http://schemas.openxmlformats.org/officeDocument/2006/relationships/themeOverride" Target="../theme/themeOverride9.xml"/><Relationship Id="rId1" Type="http://schemas.openxmlformats.org/officeDocument/2006/relationships/package" Target="../embeddings/Workbook9.xlsx"/></Relationships>
</file>

<file path=word/charts/_rels/chart10.xml.rels><?xml version="1.0" encoding="UTF-8" standalone="yes"?>
<Relationships xmlns="http://schemas.openxmlformats.org/package/2006/relationships"><Relationship Id="rId5" Type="http://schemas.microsoft.com/office/2011/relationships/chartColorStyle" Target="colors14.xml"/><Relationship Id="rId4" Type="http://schemas.microsoft.com/office/2011/relationships/chartStyle" Target="style14.xml"/><Relationship Id="rId3" Type="http://schemas.openxmlformats.org/officeDocument/2006/relationships/image" Target="../media/image2.png"/><Relationship Id="rId2" Type="http://schemas.openxmlformats.org/officeDocument/2006/relationships/themeOverride" Target="../theme/themeOverride14.xml"/><Relationship Id="rId1" Type="http://schemas.openxmlformats.org/officeDocument/2006/relationships/package" Target="../embeddings/Workbook14.xlsx"/></Relationships>
</file>

<file path=word/charts/_rels/chart100.xml.rels><?xml version="1.0" encoding="UTF-8" standalone="yes"?>
<Relationships xmlns="http://schemas.openxmlformats.org/package/2006/relationships"><Relationship Id="rId5" Type="http://schemas.microsoft.com/office/2011/relationships/chartColorStyle" Target="colors81.xml"/><Relationship Id="rId4" Type="http://schemas.microsoft.com/office/2011/relationships/chartStyle" Target="style81.xml"/><Relationship Id="rId3" Type="http://schemas.openxmlformats.org/officeDocument/2006/relationships/image" Target="../media/image2.png"/><Relationship Id="rId2" Type="http://schemas.openxmlformats.org/officeDocument/2006/relationships/themeOverride" Target="../theme/themeOverride84.xml"/><Relationship Id="rId1" Type="http://schemas.openxmlformats.org/officeDocument/2006/relationships/package" Target="../embeddings/Workbook84.xlsx"/></Relationships>
</file>

<file path=word/charts/_rels/chart101.xml.rels><?xml version="1.0" encoding="UTF-8" standalone="yes"?>
<Relationships xmlns="http://schemas.openxmlformats.org/package/2006/relationships"><Relationship Id="rId5" Type="http://schemas.microsoft.com/office/2011/relationships/chartColorStyle" Target="colors83.xml"/><Relationship Id="rId4" Type="http://schemas.microsoft.com/office/2011/relationships/chartStyle" Target="style83.xml"/><Relationship Id="rId3" Type="http://schemas.openxmlformats.org/officeDocument/2006/relationships/image" Target="../media/image2.png"/><Relationship Id="rId2" Type="http://schemas.openxmlformats.org/officeDocument/2006/relationships/themeOverride" Target="../theme/themeOverride86.xml"/><Relationship Id="rId1" Type="http://schemas.openxmlformats.org/officeDocument/2006/relationships/package" Target="../embeddings/Workbook86.xlsx"/></Relationships>
</file>

<file path=word/charts/_rels/chart11.xml.rels><?xml version="1.0" encoding="UTF-8" standalone="yes"?>
<Relationships xmlns="http://schemas.openxmlformats.org/package/2006/relationships"><Relationship Id="rId5" Type="http://schemas.microsoft.com/office/2011/relationships/chartColorStyle" Target="colors12.xml"/><Relationship Id="rId4" Type="http://schemas.microsoft.com/office/2011/relationships/chartStyle" Target="style12.xml"/><Relationship Id="rId3" Type="http://schemas.openxmlformats.org/officeDocument/2006/relationships/image" Target="../media/image2.png"/><Relationship Id="rId2" Type="http://schemas.openxmlformats.org/officeDocument/2006/relationships/themeOverride" Target="../theme/themeOverride12.xml"/><Relationship Id="rId1" Type="http://schemas.openxmlformats.org/officeDocument/2006/relationships/package" Target="../embeddings/Workbook12.xlsx"/></Relationships>
</file>

<file path=word/charts/_rels/chart12.xml.rels><?xml version="1.0" encoding="UTF-8" standalone="yes"?>
<Relationships xmlns="http://schemas.openxmlformats.org/package/2006/relationships"><Relationship Id="rId5" Type="http://schemas.microsoft.com/office/2011/relationships/chartColorStyle" Target="colors5.xml"/><Relationship Id="rId4" Type="http://schemas.microsoft.com/office/2011/relationships/chartStyle" Target="style5.xml"/><Relationship Id="rId3" Type="http://schemas.openxmlformats.org/officeDocument/2006/relationships/image" Target="../media/image1.png"/><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13.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1.png"/><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14.xml.rels><?xml version="1.0" encoding="UTF-8" standalone="yes"?>
<Relationships xmlns="http://schemas.openxmlformats.org/package/2006/relationships"><Relationship Id="rId5" Type="http://schemas.microsoft.com/office/2011/relationships/chartColorStyle" Target="colors6.xml"/><Relationship Id="rId4" Type="http://schemas.microsoft.com/office/2011/relationships/chartStyle" Target="style6.xml"/><Relationship Id="rId3" Type="http://schemas.openxmlformats.org/officeDocument/2006/relationships/image" Target="../media/image1.png"/><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15.xml.rels><?xml version="1.0" encoding="UTF-8" standalone="yes"?>
<Relationships xmlns="http://schemas.openxmlformats.org/package/2006/relationships"><Relationship Id="rId5" Type="http://schemas.microsoft.com/office/2011/relationships/chartColorStyle" Target="colors8.xml"/><Relationship Id="rId4" Type="http://schemas.microsoft.com/office/2011/relationships/chartStyle" Target="style8.xml"/><Relationship Id="rId3" Type="http://schemas.openxmlformats.org/officeDocument/2006/relationships/image" Target="../media/image1.png"/><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16.xml.rels><?xml version="1.0" encoding="UTF-8" standalone="yes"?>
<Relationships xmlns="http://schemas.openxmlformats.org/package/2006/relationships"><Relationship Id="rId5" Type="http://schemas.microsoft.com/office/2011/relationships/chartColorStyle" Target="colors13.xml"/><Relationship Id="rId4" Type="http://schemas.microsoft.com/office/2011/relationships/chartStyle" Target="style13.xml"/><Relationship Id="rId3" Type="http://schemas.openxmlformats.org/officeDocument/2006/relationships/image" Target="../media/image1.png"/><Relationship Id="rId2" Type="http://schemas.openxmlformats.org/officeDocument/2006/relationships/themeOverride" Target="../theme/themeOverride13.xml"/><Relationship Id="rId1" Type="http://schemas.openxmlformats.org/officeDocument/2006/relationships/package" Target="../embeddings/Workbook13.xlsx"/></Relationships>
</file>

<file path=word/charts/_rels/chart17.xml.rels><?xml version="1.0" encoding="UTF-8" standalone="yes"?>
<Relationships xmlns="http://schemas.openxmlformats.org/package/2006/relationships"><Relationship Id="rId5" Type="http://schemas.microsoft.com/office/2011/relationships/chartColorStyle" Target="colors16.xml"/><Relationship Id="rId4" Type="http://schemas.microsoft.com/office/2011/relationships/chartStyle" Target="style16.xml"/><Relationship Id="rId3" Type="http://schemas.openxmlformats.org/officeDocument/2006/relationships/image" Target="../media/image1.png"/><Relationship Id="rId2" Type="http://schemas.openxmlformats.org/officeDocument/2006/relationships/themeOverride" Target="../theme/themeOverride16.xml"/><Relationship Id="rId1" Type="http://schemas.openxmlformats.org/officeDocument/2006/relationships/package" Target="../embeddings/Workbook16.xlsx"/></Relationships>
</file>

<file path=word/charts/_rels/chart18.xml.rels><?xml version="1.0" encoding="UTF-8" standalone="yes"?>
<Relationships xmlns="http://schemas.openxmlformats.org/package/2006/relationships"><Relationship Id="rId5" Type="http://schemas.microsoft.com/office/2011/relationships/chartColorStyle" Target="colors17.xml"/><Relationship Id="rId4" Type="http://schemas.microsoft.com/office/2011/relationships/chartStyle" Target="style17.xml"/><Relationship Id="rId3" Type="http://schemas.openxmlformats.org/officeDocument/2006/relationships/image" Target="../media/image1.png"/><Relationship Id="rId2" Type="http://schemas.openxmlformats.org/officeDocument/2006/relationships/themeOverride" Target="../theme/themeOverride17.xml"/><Relationship Id="rId1" Type="http://schemas.openxmlformats.org/officeDocument/2006/relationships/package" Target="../embeddings/Workbook17.xlsx"/></Relationships>
</file>

<file path=word/charts/_rels/chart19.xml.rels><?xml version="1.0" encoding="UTF-8" standalone="yes"?>
<Relationships xmlns="http://schemas.openxmlformats.org/package/2006/relationships"><Relationship Id="rId5" Type="http://schemas.microsoft.com/office/2011/relationships/chartColorStyle" Target="colors33.xml"/><Relationship Id="rId4" Type="http://schemas.microsoft.com/office/2011/relationships/chartStyle" Target="style33.xml"/><Relationship Id="rId3" Type="http://schemas.openxmlformats.org/officeDocument/2006/relationships/image" Target="../media/image1.png"/><Relationship Id="rId2" Type="http://schemas.openxmlformats.org/officeDocument/2006/relationships/themeOverride" Target="../theme/themeOverride34.xml"/><Relationship Id="rId1" Type="http://schemas.openxmlformats.org/officeDocument/2006/relationships/package" Target="../embeddings/Workbook34.xlsx"/></Relationships>
</file>

<file path=word/charts/_rels/chart2.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1.png"/><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0.xml.rels><?xml version="1.0" encoding="UTF-8" standalone="yes"?>
<Relationships xmlns="http://schemas.openxmlformats.org/package/2006/relationships"><Relationship Id="rId5" Type="http://schemas.microsoft.com/office/2011/relationships/chartColorStyle" Target="colors32.xml"/><Relationship Id="rId4" Type="http://schemas.microsoft.com/office/2011/relationships/chartStyle" Target="style32.xml"/><Relationship Id="rId3" Type="http://schemas.openxmlformats.org/officeDocument/2006/relationships/image" Target="../media/image1.png"/><Relationship Id="rId2" Type="http://schemas.openxmlformats.org/officeDocument/2006/relationships/themeOverride" Target="../theme/themeOverride33.xml"/><Relationship Id="rId1" Type="http://schemas.openxmlformats.org/officeDocument/2006/relationships/package" Target="../embeddings/Workbook33.xlsx"/></Relationships>
</file>

<file path=word/charts/_rels/chart21.xml.rels><?xml version="1.0" encoding="UTF-8" standalone="yes"?>
<Relationships xmlns="http://schemas.openxmlformats.org/package/2006/relationships"><Relationship Id="rId5" Type="http://schemas.microsoft.com/office/2011/relationships/chartColorStyle" Target="colors34.xml"/><Relationship Id="rId4" Type="http://schemas.microsoft.com/office/2011/relationships/chartStyle" Target="style34.xml"/><Relationship Id="rId3" Type="http://schemas.openxmlformats.org/officeDocument/2006/relationships/image" Target="../media/image2.png"/><Relationship Id="rId2" Type="http://schemas.openxmlformats.org/officeDocument/2006/relationships/themeOverride" Target="../theme/themeOverride35.xml"/><Relationship Id="rId1" Type="http://schemas.openxmlformats.org/officeDocument/2006/relationships/package" Target="../embeddings/Workbook35.xlsx"/></Relationships>
</file>

<file path=word/charts/_rels/chart22.xml.rels><?xml version="1.0" encoding="UTF-8" standalone="yes"?>
<Relationships xmlns="http://schemas.openxmlformats.org/package/2006/relationships"><Relationship Id="rId5" Type="http://schemas.microsoft.com/office/2011/relationships/chartColorStyle" Target="colors19.xml"/><Relationship Id="rId4" Type="http://schemas.microsoft.com/office/2011/relationships/chartStyle" Target="style19.xml"/><Relationship Id="rId3" Type="http://schemas.openxmlformats.org/officeDocument/2006/relationships/image" Target="../media/image2.png"/><Relationship Id="rId2" Type="http://schemas.openxmlformats.org/officeDocument/2006/relationships/themeOverride" Target="../theme/themeOverride19.xml"/><Relationship Id="rId1" Type="http://schemas.openxmlformats.org/officeDocument/2006/relationships/package" Target="../embeddings/Workbook19.xlsx"/></Relationships>
</file>

<file path=word/charts/_rels/chart23.xml.rels><?xml version="1.0" encoding="UTF-8" standalone="yes"?>
<Relationships xmlns="http://schemas.openxmlformats.org/package/2006/relationships"><Relationship Id="rId5" Type="http://schemas.microsoft.com/office/2011/relationships/chartColorStyle" Target="colors20.xml"/><Relationship Id="rId4" Type="http://schemas.microsoft.com/office/2011/relationships/chartStyle" Target="style20.xml"/><Relationship Id="rId3" Type="http://schemas.openxmlformats.org/officeDocument/2006/relationships/image" Target="../media/image2.png"/><Relationship Id="rId2" Type="http://schemas.openxmlformats.org/officeDocument/2006/relationships/themeOverride" Target="../theme/themeOverride20.xml"/><Relationship Id="rId1" Type="http://schemas.openxmlformats.org/officeDocument/2006/relationships/package" Target="../embeddings/Workbook20.xlsx"/></Relationships>
</file>

<file path=word/charts/_rels/chart24.xml.rels><?xml version="1.0" encoding="UTF-8" standalone="yes"?>
<Relationships xmlns="http://schemas.openxmlformats.org/package/2006/relationships"><Relationship Id="rId5" Type="http://schemas.microsoft.com/office/2011/relationships/chartColorStyle" Target="colors31.xml"/><Relationship Id="rId4" Type="http://schemas.microsoft.com/office/2011/relationships/chartStyle" Target="style31.xml"/><Relationship Id="rId3" Type="http://schemas.openxmlformats.org/officeDocument/2006/relationships/image" Target="../media/image2.png"/><Relationship Id="rId2" Type="http://schemas.openxmlformats.org/officeDocument/2006/relationships/themeOverride" Target="../theme/themeOverride32.xml"/><Relationship Id="rId1" Type="http://schemas.openxmlformats.org/officeDocument/2006/relationships/package" Target="../embeddings/Workbook32.xlsx"/></Relationships>
</file>

<file path=word/charts/_rels/chart25.xml.rels><?xml version="1.0" encoding="UTF-8" standalone="yes"?>
<Relationships xmlns="http://schemas.openxmlformats.org/package/2006/relationships"><Relationship Id="rId5" Type="http://schemas.microsoft.com/office/2011/relationships/chartColorStyle" Target="colors26.xml"/><Relationship Id="rId4" Type="http://schemas.microsoft.com/office/2011/relationships/chartStyle" Target="style26.xml"/><Relationship Id="rId3" Type="http://schemas.openxmlformats.org/officeDocument/2006/relationships/image" Target="../media/image2.png"/><Relationship Id="rId2" Type="http://schemas.openxmlformats.org/officeDocument/2006/relationships/themeOverride" Target="../theme/themeOverride27.xml"/><Relationship Id="rId1" Type="http://schemas.openxmlformats.org/officeDocument/2006/relationships/package" Target="../embeddings/Workbook27.xlsx"/></Relationships>
</file>

<file path=word/charts/_rels/chart26.xml.rels><?xml version="1.0" encoding="UTF-8" standalone="yes"?>
<Relationships xmlns="http://schemas.openxmlformats.org/package/2006/relationships"><Relationship Id="rId5" Type="http://schemas.microsoft.com/office/2011/relationships/chartColorStyle" Target="colors21.xml"/><Relationship Id="rId4" Type="http://schemas.microsoft.com/office/2011/relationships/chartStyle" Target="style21.xml"/><Relationship Id="rId3" Type="http://schemas.openxmlformats.org/officeDocument/2006/relationships/image" Target="../media/image2.png"/><Relationship Id="rId2" Type="http://schemas.openxmlformats.org/officeDocument/2006/relationships/themeOverride" Target="../theme/themeOverride21.xml"/><Relationship Id="rId1" Type="http://schemas.openxmlformats.org/officeDocument/2006/relationships/package" Target="../embeddings/Workbook21.xlsx"/></Relationships>
</file>

<file path=word/charts/_rels/chart27.xml.rels><?xml version="1.0" encoding="UTF-8" standalone="yes"?>
<Relationships xmlns="http://schemas.openxmlformats.org/package/2006/relationships"><Relationship Id="rId5" Type="http://schemas.microsoft.com/office/2011/relationships/chartColorStyle" Target="colors23.xml"/><Relationship Id="rId4" Type="http://schemas.microsoft.com/office/2011/relationships/chartStyle" Target="style23.xml"/><Relationship Id="rId3" Type="http://schemas.openxmlformats.org/officeDocument/2006/relationships/image" Target="../media/image2.png"/><Relationship Id="rId2" Type="http://schemas.openxmlformats.org/officeDocument/2006/relationships/themeOverride" Target="../theme/themeOverride24.xml"/><Relationship Id="rId1" Type="http://schemas.openxmlformats.org/officeDocument/2006/relationships/package" Target="../embeddings/Workbook24.xlsx"/></Relationships>
</file>

<file path=word/charts/_rels/chart28.xml.rels><?xml version="1.0" encoding="UTF-8" standalone="yes"?>
<Relationships xmlns="http://schemas.openxmlformats.org/package/2006/relationships"><Relationship Id="rId5" Type="http://schemas.microsoft.com/office/2011/relationships/chartColorStyle" Target="colors22.xml"/><Relationship Id="rId4" Type="http://schemas.microsoft.com/office/2011/relationships/chartStyle" Target="style22.xml"/><Relationship Id="rId3" Type="http://schemas.openxmlformats.org/officeDocument/2006/relationships/image" Target="../media/image2.png"/><Relationship Id="rId2" Type="http://schemas.openxmlformats.org/officeDocument/2006/relationships/themeOverride" Target="../theme/themeOverride22.xml"/><Relationship Id="rId1" Type="http://schemas.openxmlformats.org/officeDocument/2006/relationships/package" Target="../embeddings/Workbook22.xlsx"/></Relationships>
</file>

<file path=word/charts/_rels/chart29.xml.rels><?xml version="1.0" encoding="UTF-8" standalone="yes"?>
<Relationships xmlns="http://schemas.openxmlformats.org/package/2006/relationships"><Relationship Id="rId5" Type="http://schemas.microsoft.com/office/2011/relationships/chartColorStyle" Target="colors30.xml"/><Relationship Id="rId4" Type="http://schemas.microsoft.com/office/2011/relationships/chartStyle" Target="style30.xml"/><Relationship Id="rId3" Type="http://schemas.openxmlformats.org/officeDocument/2006/relationships/image" Target="../media/image2.png"/><Relationship Id="rId2" Type="http://schemas.openxmlformats.org/officeDocument/2006/relationships/themeOverride" Target="../theme/themeOverride31.xml"/><Relationship Id="rId1" Type="http://schemas.openxmlformats.org/officeDocument/2006/relationships/package" Target="../embeddings/Workbook31.xlsx"/></Relationships>
</file>

<file path=word/charts/_rels/chart3.xml.rels><?xml version="1.0" encoding="UTF-8" standalone="yes"?>
<Relationships xmlns="http://schemas.openxmlformats.org/package/2006/relationships"><Relationship Id="rId5" Type="http://schemas.microsoft.com/office/2011/relationships/chartColorStyle" Target="colors15.xml"/><Relationship Id="rId4" Type="http://schemas.microsoft.com/office/2011/relationships/chartStyle" Target="style15.xml"/><Relationship Id="rId3" Type="http://schemas.openxmlformats.org/officeDocument/2006/relationships/image" Target="../media/image1.png"/><Relationship Id="rId2" Type="http://schemas.openxmlformats.org/officeDocument/2006/relationships/themeOverride" Target="../theme/themeOverride15.xml"/><Relationship Id="rId1" Type="http://schemas.openxmlformats.org/officeDocument/2006/relationships/package" Target="../embeddings/Workbook15.xlsx"/></Relationships>
</file>

<file path=word/charts/_rels/chart3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themeOverride" Target="../theme/themeOverride23.xml"/><Relationship Id="rId1" Type="http://schemas.openxmlformats.org/officeDocument/2006/relationships/package" Target="../embeddings/Workbook23.xlsx"/></Relationships>
</file>

<file path=word/charts/_rels/chart31.xml.rels><?xml version="1.0" encoding="UTF-8" standalone="yes"?>
<Relationships xmlns="http://schemas.openxmlformats.org/package/2006/relationships"><Relationship Id="rId5" Type="http://schemas.microsoft.com/office/2011/relationships/chartColorStyle" Target="colors28.xml"/><Relationship Id="rId4" Type="http://schemas.microsoft.com/office/2011/relationships/chartStyle" Target="style28.xml"/><Relationship Id="rId3" Type="http://schemas.openxmlformats.org/officeDocument/2006/relationships/image" Target="../media/image2.png"/><Relationship Id="rId2" Type="http://schemas.openxmlformats.org/officeDocument/2006/relationships/themeOverride" Target="../theme/themeOverride29.xml"/><Relationship Id="rId1" Type="http://schemas.openxmlformats.org/officeDocument/2006/relationships/package" Target="../embeddings/Workbook29.xlsx"/></Relationships>
</file>

<file path=word/charts/_rels/chart32.xml.rels><?xml version="1.0" encoding="UTF-8" standalone="yes"?>
<Relationships xmlns="http://schemas.openxmlformats.org/package/2006/relationships"><Relationship Id="rId5" Type="http://schemas.microsoft.com/office/2011/relationships/chartColorStyle" Target="colors29.xml"/><Relationship Id="rId4" Type="http://schemas.microsoft.com/office/2011/relationships/chartStyle" Target="style29.xml"/><Relationship Id="rId3" Type="http://schemas.openxmlformats.org/officeDocument/2006/relationships/image" Target="../media/image2.png"/><Relationship Id="rId2" Type="http://schemas.openxmlformats.org/officeDocument/2006/relationships/themeOverride" Target="../theme/themeOverride30.xml"/><Relationship Id="rId1" Type="http://schemas.openxmlformats.org/officeDocument/2006/relationships/package" Target="../embeddings/Workbook30.xlsx"/></Relationships>
</file>

<file path=word/charts/_rels/chart33.xml.rels><?xml version="1.0" encoding="UTF-8" standalone="yes"?>
<Relationships xmlns="http://schemas.openxmlformats.org/package/2006/relationships"><Relationship Id="rId5" Type="http://schemas.microsoft.com/office/2011/relationships/chartColorStyle" Target="colors24.xml"/><Relationship Id="rId4" Type="http://schemas.microsoft.com/office/2011/relationships/chartStyle" Target="style24.xml"/><Relationship Id="rId3" Type="http://schemas.openxmlformats.org/officeDocument/2006/relationships/image" Target="../media/image2.png"/><Relationship Id="rId2" Type="http://schemas.openxmlformats.org/officeDocument/2006/relationships/themeOverride" Target="../theme/themeOverride25.xml"/><Relationship Id="rId1" Type="http://schemas.openxmlformats.org/officeDocument/2006/relationships/package" Target="../embeddings/Workbook25.xlsx"/></Relationships>
</file>

<file path=word/charts/_rels/chart34.xml.rels><?xml version="1.0" encoding="UTF-8" standalone="yes"?>
<Relationships xmlns="http://schemas.openxmlformats.org/package/2006/relationships"><Relationship Id="rId5" Type="http://schemas.microsoft.com/office/2011/relationships/chartColorStyle" Target="colors25.xml"/><Relationship Id="rId4" Type="http://schemas.microsoft.com/office/2011/relationships/chartStyle" Target="style25.xml"/><Relationship Id="rId3" Type="http://schemas.openxmlformats.org/officeDocument/2006/relationships/image" Target="../media/image2.png"/><Relationship Id="rId2" Type="http://schemas.openxmlformats.org/officeDocument/2006/relationships/themeOverride" Target="../theme/themeOverride26.xml"/><Relationship Id="rId1" Type="http://schemas.openxmlformats.org/officeDocument/2006/relationships/package" Target="../embeddings/Workbook26.xlsx"/></Relationships>
</file>

<file path=word/charts/_rels/chart35.xml.rels><?xml version="1.0" encoding="UTF-8" standalone="yes"?>
<Relationships xmlns="http://schemas.openxmlformats.org/package/2006/relationships"><Relationship Id="rId5" Type="http://schemas.microsoft.com/office/2011/relationships/chartColorStyle" Target="colors27.xml"/><Relationship Id="rId4" Type="http://schemas.microsoft.com/office/2011/relationships/chartStyle" Target="style27.xml"/><Relationship Id="rId3" Type="http://schemas.openxmlformats.org/officeDocument/2006/relationships/image" Target="../media/image2.png"/><Relationship Id="rId2" Type="http://schemas.openxmlformats.org/officeDocument/2006/relationships/themeOverride" Target="../theme/themeOverride28.xml"/><Relationship Id="rId1" Type="http://schemas.openxmlformats.org/officeDocument/2006/relationships/package" Target="../embeddings/Workbook28.xlsx"/></Relationships>
</file>

<file path=word/charts/_rels/chart36.xml.rels><?xml version="1.0" encoding="UTF-8" standalone="yes"?>
<Relationships xmlns="http://schemas.openxmlformats.org/package/2006/relationships"><Relationship Id="rId5" Type="http://schemas.microsoft.com/office/2011/relationships/chartColorStyle" Target="colors45.xml"/><Relationship Id="rId4" Type="http://schemas.microsoft.com/office/2011/relationships/chartStyle" Target="style45.xml"/><Relationship Id="rId3" Type="http://schemas.openxmlformats.org/officeDocument/2006/relationships/image" Target="../media/image2.png"/><Relationship Id="rId2" Type="http://schemas.openxmlformats.org/officeDocument/2006/relationships/themeOverride" Target="../theme/themeOverride46.xml"/><Relationship Id="rId1" Type="http://schemas.openxmlformats.org/officeDocument/2006/relationships/package" Target="../embeddings/Workbook46.xlsx"/></Relationships>
</file>

<file path=word/charts/_rels/chart37.xml.rels><?xml version="1.0" encoding="UTF-8" standalone="yes"?>
<Relationships xmlns="http://schemas.openxmlformats.org/package/2006/relationships"><Relationship Id="rId5" Type="http://schemas.microsoft.com/office/2011/relationships/chartColorStyle" Target="colors36.xml"/><Relationship Id="rId4" Type="http://schemas.microsoft.com/office/2011/relationships/chartStyle" Target="style36.xml"/><Relationship Id="rId3" Type="http://schemas.openxmlformats.org/officeDocument/2006/relationships/image" Target="../media/image2.png"/><Relationship Id="rId2" Type="http://schemas.openxmlformats.org/officeDocument/2006/relationships/themeOverride" Target="../theme/themeOverride37.xml"/><Relationship Id="rId1" Type="http://schemas.openxmlformats.org/officeDocument/2006/relationships/package" Target="../embeddings/Workbook37.xlsx"/></Relationships>
</file>

<file path=word/charts/_rels/chart38.xml.rels><?xml version="1.0" encoding="UTF-8" standalone="yes"?>
<Relationships xmlns="http://schemas.openxmlformats.org/package/2006/relationships"><Relationship Id="rId5" Type="http://schemas.microsoft.com/office/2011/relationships/chartColorStyle" Target="colors50.xml"/><Relationship Id="rId4" Type="http://schemas.microsoft.com/office/2011/relationships/chartStyle" Target="style50.xml"/><Relationship Id="rId3" Type="http://schemas.openxmlformats.org/officeDocument/2006/relationships/image" Target="../media/image2.png"/><Relationship Id="rId2" Type="http://schemas.openxmlformats.org/officeDocument/2006/relationships/themeOverride" Target="../theme/themeOverride52.xml"/><Relationship Id="rId1" Type="http://schemas.openxmlformats.org/officeDocument/2006/relationships/package" Target="../embeddings/Workbook52.xlsx"/></Relationships>
</file>

<file path=word/charts/_rels/chart39.xml.rels><?xml version="1.0" encoding="UTF-8" standalone="yes"?>
<Relationships xmlns="http://schemas.openxmlformats.org/package/2006/relationships"><Relationship Id="rId5" Type="http://schemas.microsoft.com/office/2011/relationships/chartColorStyle" Target="colors44.xml"/><Relationship Id="rId4" Type="http://schemas.microsoft.com/office/2011/relationships/chartStyle" Target="style44.xml"/><Relationship Id="rId3" Type="http://schemas.openxmlformats.org/officeDocument/2006/relationships/image" Target="../media/image2.png"/><Relationship Id="rId2" Type="http://schemas.openxmlformats.org/officeDocument/2006/relationships/themeOverride" Target="../theme/themeOverride45.xml"/><Relationship Id="rId1" Type="http://schemas.openxmlformats.org/officeDocument/2006/relationships/package" Target="../embeddings/Workbook45.xlsx"/></Relationships>
</file>

<file path=word/charts/_rels/chart4.xml.rels><?xml version="1.0" encoding="UTF-8" standalone="yes"?>
<Relationships xmlns="http://schemas.openxmlformats.org/package/2006/relationships"><Relationship Id="rId5" Type="http://schemas.microsoft.com/office/2011/relationships/chartColorStyle" Target="colors10.xml"/><Relationship Id="rId4" Type="http://schemas.microsoft.com/office/2011/relationships/chartStyle" Target="style10.xml"/><Relationship Id="rId3" Type="http://schemas.openxmlformats.org/officeDocument/2006/relationships/image" Target="../media/image1.png"/><Relationship Id="rId2" Type="http://schemas.openxmlformats.org/officeDocument/2006/relationships/themeOverride" Target="../theme/themeOverride10.xml"/><Relationship Id="rId1" Type="http://schemas.openxmlformats.org/officeDocument/2006/relationships/package" Target="../embeddings/Workbook10.xlsx"/></Relationships>
</file>

<file path=word/charts/_rels/chart40.xml.rels><?xml version="1.0" encoding="UTF-8" standalone="yes"?>
<Relationships xmlns="http://schemas.openxmlformats.org/package/2006/relationships"><Relationship Id="rId5" Type="http://schemas.microsoft.com/office/2011/relationships/chartColorStyle" Target="colors57.xml"/><Relationship Id="rId4" Type="http://schemas.microsoft.com/office/2011/relationships/chartStyle" Target="style57.xml"/><Relationship Id="rId3" Type="http://schemas.openxmlformats.org/officeDocument/2006/relationships/image" Target="../media/image2.png"/><Relationship Id="rId2" Type="http://schemas.openxmlformats.org/officeDocument/2006/relationships/themeOverride" Target="../theme/themeOverride59.xml"/><Relationship Id="rId1" Type="http://schemas.openxmlformats.org/officeDocument/2006/relationships/package" Target="../embeddings/Workbook59.xlsx"/></Relationships>
</file>

<file path=word/charts/_rels/chart41.xml.rels><?xml version="1.0" encoding="UTF-8" standalone="yes"?>
<Relationships xmlns="http://schemas.openxmlformats.org/package/2006/relationships"><Relationship Id="rId5" Type="http://schemas.microsoft.com/office/2011/relationships/chartColorStyle" Target="colors51.xml"/><Relationship Id="rId4" Type="http://schemas.microsoft.com/office/2011/relationships/chartStyle" Target="style51.xml"/><Relationship Id="rId3" Type="http://schemas.openxmlformats.org/officeDocument/2006/relationships/image" Target="../media/image2.png"/><Relationship Id="rId2" Type="http://schemas.openxmlformats.org/officeDocument/2006/relationships/themeOverride" Target="../theme/themeOverride53.xml"/><Relationship Id="rId1" Type="http://schemas.openxmlformats.org/officeDocument/2006/relationships/package" Target="../embeddings/Workbook53.xlsx"/></Relationships>
</file>

<file path=word/charts/_rels/chart42.xml.rels><?xml version="1.0" encoding="UTF-8" standalone="yes"?>
<Relationships xmlns="http://schemas.openxmlformats.org/package/2006/relationships"><Relationship Id="rId5" Type="http://schemas.microsoft.com/office/2011/relationships/chartColorStyle" Target="colors38.xml"/><Relationship Id="rId4" Type="http://schemas.microsoft.com/office/2011/relationships/chartStyle" Target="style38.xml"/><Relationship Id="rId3" Type="http://schemas.openxmlformats.org/officeDocument/2006/relationships/image" Target="../media/image2.png"/><Relationship Id="rId2" Type="http://schemas.openxmlformats.org/officeDocument/2006/relationships/themeOverride" Target="../theme/themeOverride39.xml"/><Relationship Id="rId1" Type="http://schemas.openxmlformats.org/officeDocument/2006/relationships/package" Target="../embeddings/Workbook39.xlsx"/></Relationships>
</file>

<file path=word/charts/_rels/chart43.xml.rels><?xml version="1.0" encoding="UTF-8" standalone="yes"?>
<Relationships xmlns="http://schemas.openxmlformats.org/package/2006/relationships"><Relationship Id="rId5" Type="http://schemas.microsoft.com/office/2011/relationships/chartColorStyle" Target="colors37.xml"/><Relationship Id="rId4" Type="http://schemas.microsoft.com/office/2011/relationships/chartStyle" Target="style37.xml"/><Relationship Id="rId3" Type="http://schemas.openxmlformats.org/officeDocument/2006/relationships/image" Target="../media/image2.png"/><Relationship Id="rId2" Type="http://schemas.openxmlformats.org/officeDocument/2006/relationships/themeOverride" Target="../theme/themeOverride38.xml"/><Relationship Id="rId1" Type="http://schemas.openxmlformats.org/officeDocument/2006/relationships/package" Target="../embeddings/Workbook38.xlsx"/></Relationships>
</file>

<file path=word/charts/_rels/chart44.xml.rels><?xml version="1.0" encoding="UTF-8" standalone="yes"?>
<Relationships xmlns="http://schemas.openxmlformats.org/package/2006/relationships"><Relationship Id="rId5" Type="http://schemas.microsoft.com/office/2011/relationships/chartColorStyle" Target="colors46.xml"/><Relationship Id="rId4" Type="http://schemas.microsoft.com/office/2011/relationships/chartStyle" Target="style46.xml"/><Relationship Id="rId3" Type="http://schemas.openxmlformats.org/officeDocument/2006/relationships/image" Target="../media/image2.png"/><Relationship Id="rId2" Type="http://schemas.openxmlformats.org/officeDocument/2006/relationships/themeOverride" Target="../theme/themeOverride47.xml"/><Relationship Id="rId1" Type="http://schemas.openxmlformats.org/officeDocument/2006/relationships/package" Target="../embeddings/Workbook47.xlsx"/></Relationships>
</file>

<file path=word/charts/_rels/chart45.xml.rels><?xml version="1.0" encoding="UTF-8" standalone="yes"?>
<Relationships xmlns="http://schemas.openxmlformats.org/package/2006/relationships"><Relationship Id="rId5" Type="http://schemas.microsoft.com/office/2011/relationships/chartColorStyle" Target="colors49.xml"/><Relationship Id="rId4" Type="http://schemas.microsoft.com/office/2011/relationships/chartStyle" Target="style49.xml"/><Relationship Id="rId3" Type="http://schemas.openxmlformats.org/officeDocument/2006/relationships/image" Target="../media/image2.png"/><Relationship Id="rId2" Type="http://schemas.openxmlformats.org/officeDocument/2006/relationships/themeOverride" Target="../theme/themeOverride51.xml"/><Relationship Id="rId1" Type="http://schemas.openxmlformats.org/officeDocument/2006/relationships/package" Target="../embeddings/Workbook51.xlsx"/></Relationships>
</file>

<file path=word/charts/_rels/chart46.xml.rels><?xml version="1.0" encoding="UTF-8" standalone="yes"?>
<Relationships xmlns="http://schemas.openxmlformats.org/package/2006/relationships"><Relationship Id="rId5" Type="http://schemas.microsoft.com/office/2011/relationships/chartColorStyle" Target="colors40.xml"/><Relationship Id="rId4" Type="http://schemas.microsoft.com/office/2011/relationships/chartStyle" Target="style40.xml"/><Relationship Id="rId3" Type="http://schemas.openxmlformats.org/officeDocument/2006/relationships/image" Target="../media/image2.png"/><Relationship Id="rId2" Type="http://schemas.openxmlformats.org/officeDocument/2006/relationships/themeOverride" Target="../theme/themeOverride41.xml"/><Relationship Id="rId1" Type="http://schemas.openxmlformats.org/officeDocument/2006/relationships/package" Target="../embeddings/Workbook41.xlsx"/></Relationships>
</file>

<file path=word/charts/_rels/chart47.xml.rels><?xml version="1.0" encoding="UTF-8" standalone="yes"?>
<Relationships xmlns="http://schemas.openxmlformats.org/package/2006/relationships"><Relationship Id="rId5" Type="http://schemas.microsoft.com/office/2011/relationships/chartColorStyle" Target="colors35.xml"/><Relationship Id="rId4" Type="http://schemas.microsoft.com/office/2011/relationships/chartStyle" Target="style35.xml"/><Relationship Id="rId3" Type="http://schemas.openxmlformats.org/officeDocument/2006/relationships/image" Target="../media/image2.png"/><Relationship Id="rId2" Type="http://schemas.openxmlformats.org/officeDocument/2006/relationships/themeOverride" Target="../theme/themeOverride36.xml"/><Relationship Id="rId1" Type="http://schemas.openxmlformats.org/officeDocument/2006/relationships/package" Target="../embeddings/Workbook36.xlsx"/></Relationships>
</file>

<file path=word/charts/_rels/chart48.xml.rels><?xml version="1.0" encoding="UTF-8" standalone="yes"?>
<Relationships xmlns="http://schemas.openxmlformats.org/package/2006/relationships"><Relationship Id="rId5" Type="http://schemas.microsoft.com/office/2011/relationships/chartColorStyle" Target="colors58.xml"/><Relationship Id="rId4" Type="http://schemas.microsoft.com/office/2011/relationships/chartStyle" Target="style58.xml"/><Relationship Id="rId3" Type="http://schemas.openxmlformats.org/officeDocument/2006/relationships/image" Target="../media/image2.png"/><Relationship Id="rId2" Type="http://schemas.openxmlformats.org/officeDocument/2006/relationships/themeOverride" Target="../theme/themeOverride60.xml"/><Relationship Id="rId1" Type="http://schemas.openxmlformats.org/officeDocument/2006/relationships/package" Target="../embeddings/Workbook60.xlsx"/></Relationships>
</file>

<file path=word/charts/_rels/chart49.xml.rels><?xml version="1.0" encoding="UTF-8" standalone="yes"?>
<Relationships xmlns="http://schemas.openxmlformats.org/package/2006/relationships"><Relationship Id="rId5" Type="http://schemas.microsoft.com/office/2011/relationships/chartColorStyle" Target="colors54.xml"/><Relationship Id="rId4" Type="http://schemas.microsoft.com/office/2011/relationships/chartStyle" Target="style54.xml"/><Relationship Id="rId3" Type="http://schemas.openxmlformats.org/officeDocument/2006/relationships/image" Target="../media/image2.png"/><Relationship Id="rId2" Type="http://schemas.openxmlformats.org/officeDocument/2006/relationships/themeOverride" Target="../theme/themeOverride56.xml"/><Relationship Id="rId1" Type="http://schemas.openxmlformats.org/officeDocument/2006/relationships/package" Target="../embeddings/Workbook56.xlsx"/></Relationships>
</file>

<file path=word/charts/_rels/chart5.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image" Target="../media/image1.png"/><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50.xml.rels><?xml version="1.0" encoding="UTF-8" standalone="yes"?>
<Relationships xmlns="http://schemas.openxmlformats.org/package/2006/relationships"><Relationship Id="rId5" Type="http://schemas.microsoft.com/office/2011/relationships/chartColorStyle" Target="colors47.xml"/><Relationship Id="rId4" Type="http://schemas.microsoft.com/office/2011/relationships/chartStyle" Target="style47.xml"/><Relationship Id="rId3" Type="http://schemas.openxmlformats.org/officeDocument/2006/relationships/image" Target="../media/image2.png"/><Relationship Id="rId2" Type="http://schemas.openxmlformats.org/officeDocument/2006/relationships/themeOverride" Target="../theme/themeOverride48.xml"/><Relationship Id="rId1" Type="http://schemas.openxmlformats.org/officeDocument/2006/relationships/package" Target="../embeddings/Workbook48.xlsx"/></Relationships>
</file>

<file path=word/charts/_rels/chart51.xml.rels><?xml version="1.0" encoding="UTF-8" standalone="yes"?>
<Relationships xmlns="http://schemas.openxmlformats.org/package/2006/relationships"><Relationship Id="rId5" Type="http://schemas.microsoft.com/office/2011/relationships/chartColorStyle" Target="colors48.xml"/><Relationship Id="rId4" Type="http://schemas.microsoft.com/office/2011/relationships/chartStyle" Target="style48.xml"/><Relationship Id="rId3" Type="http://schemas.openxmlformats.org/officeDocument/2006/relationships/image" Target="../media/image2.png"/><Relationship Id="rId2" Type="http://schemas.openxmlformats.org/officeDocument/2006/relationships/themeOverride" Target="../theme/themeOverride49.xml"/><Relationship Id="rId1" Type="http://schemas.openxmlformats.org/officeDocument/2006/relationships/package" Target="../embeddings/Workbook49.xlsx"/></Relationships>
</file>

<file path=word/charts/_rels/chart52.xml.rels><?xml version="1.0" encoding="UTF-8" standalone="yes"?>
<Relationships xmlns="http://schemas.openxmlformats.org/package/2006/relationships"><Relationship Id="rId5" Type="http://schemas.microsoft.com/office/2011/relationships/chartColorStyle" Target="colors59.xml"/><Relationship Id="rId4" Type="http://schemas.microsoft.com/office/2011/relationships/chartStyle" Target="style59.xml"/><Relationship Id="rId3" Type="http://schemas.openxmlformats.org/officeDocument/2006/relationships/image" Target="../media/image2.png"/><Relationship Id="rId2" Type="http://schemas.openxmlformats.org/officeDocument/2006/relationships/themeOverride" Target="../theme/themeOverride61.xml"/><Relationship Id="rId1" Type="http://schemas.openxmlformats.org/officeDocument/2006/relationships/package" Target="../embeddings/Workbook61.xlsx"/></Relationships>
</file>

<file path=word/charts/_rels/chart5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themeOverride" Target="../theme/themeOverride66.xml"/><Relationship Id="rId1" Type="http://schemas.openxmlformats.org/officeDocument/2006/relationships/package" Target="../embeddings/Workbook66.xlsx"/></Relationships>
</file>

<file path=word/charts/_rels/chart54.xml.rels><?xml version="1.0" encoding="UTF-8" standalone="yes"?>
<Relationships xmlns="http://schemas.openxmlformats.org/package/2006/relationships"><Relationship Id="rId5" Type="http://schemas.microsoft.com/office/2011/relationships/chartColorStyle" Target="colors55.xml"/><Relationship Id="rId4" Type="http://schemas.microsoft.com/office/2011/relationships/chartStyle" Target="style55.xml"/><Relationship Id="rId3" Type="http://schemas.openxmlformats.org/officeDocument/2006/relationships/image" Target="../media/image2.png"/><Relationship Id="rId2" Type="http://schemas.openxmlformats.org/officeDocument/2006/relationships/themeOverride" Target="../theme/themeOverride57.xml"/><Relationship Id="rId1" Type="http://schemas.openxmlformats.org/officeDocument/2006/relationships/package" Target="../embeddings/Workbook57.xlsx"/></Relationships>
</file>

<file path=word/charts/_rels/chart5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themeOverride" Target="../theme/themeOverride50.xml"/><Relationship Id="rId1" Type="http://schemas.openxmlformats.org/officeDocument/2006/relationships/package" Target="../embeddings/Workbook50.xlsx"/></Relationships>
</file>

<file path=word/charts/_rels/chart56.xml.rels><?xml version="1.0" encoding="UTF-8" standalone="yes"?>
<Relationships xmlns="http://schemas.openxmlformats.org/package/2006/relationships"><Relationship Id="rId5" Type="http://schemas.microsoft.com/office/2011/relationships/chartColorStyle" Target="colors52.xml"/><Relationship Id="rId4" Type="http://schemas.microsoft.com/office/2011/relationships/chartStyle" Target="style52.xml"/><Relationship Id="rId3" Type="http://schemas.openxmlformats.org/officeDocument/2006/relationships/image" Target="../media/image2.png"/><Relationship Id="rId2" Type="http://schemas.openxmlformats.org/officeDocument/2006/relationships/themeOverride" Target="../theme/themeOverride54.xml"/><Relationship Id="rId1" Type="http://schemas.openxmlformats.org/officeDocument/2006/relationships/package" Target="../embeddings/Workbook54.xlsx"/></Relationships>
</file>

<file path=word/charts/_rels/chart57.xml.rels><?xml version="1.0" encoding="UTF-8" standalone="yes"?>
<Relationships xmlns="http://schemas.openxmlformats.org/package/2006/relationships"><Relationship Id="rId5" Type="http://schemas.microsoft.com/office/2011/relationships/chartColorStyle" Target="colors64.xml"/><Relationship Id="rId4" Type="http://schemas.microsoft.com/office/2011/relationships/chartStyle" Target="style64.xml"/><Relationship Id="rId3" Type="http://schemas.openxmlformats.org/officeDocument/2006/relationships/image" Target="../media/image2.png"/><Relationship Id="rId2" Type="http://schemas.openxmlformats.org/officeDocument/2006/relationships/themeOverride" Target="../theme/themeOverride67.xml"/><Relationship Id="rId1" Type="http://schemas.openxmlformats.org/officeDocument/2006/relationships/package" Target="../embeddings/Workbook67.xlsx"/></Relationships>
</file>

<file path=word/charts/_rels/chart58.xml.rels><?xml version="1.0" encoding="UTF-8" standalone="yes"?>
<Relationships xmlns="http://schemas.openxmlformats.org/package/2006/relationships"><Relationship Id="rId5" Type="http://schemas.microsoft.com/office/2011/relationships/chartColorStyle" Target="colors53.xml"/><Relationship Id="rId4" Type="http://schemas.microsoft.com/office/2011/relationships/chartStyle" Target="style53.xml"/><Relationship Id="rId3" Type="http://schemas.openxmlformats.org/officeDocument/2006/relationships/image" Target="../media/image2.png"/><Relationship Id="rId2" Type="http://schemas.openxmlformats.org/officeDocument/2006/relationships/themeOverride" Target="../theme/themeOverride55.xml"/><Relationship Id="rId1" Type="http://schemas.openxmlformats.org/officeDocument/2006/relationships/package" Target="../embeddings/Workbook55.xlsx"/></Relationships>
</file>

<file path=word/charts/_rels/chart59.xml.rels><?xml version="1.0" encoding="UTF-8" standalone="yes"?>
<Relationships xmlns="http://schemas.openxmlformats.org/package/2006/relationships"><Relationship Id="rId5" Type="http://schemas.microsoft.com/office/2011/relationships/chartColorStyle" Target="colors56.xml"/><Relationship Id="rId4" Type="http://schemas.microsoft.com/office/2011/relationships/chartStyle" Target="style56.xml"/><Relationship Id="rId3" Type="http://schemas.openxmlformats.org/officeDocument/2006/relationships/image" Target="../media/image2.png"/><Relationship Id="rId2" Type="http://schemas.openxmlformats.org/officeDocument/2006/relationships/themeOverride" Target="../theme/themeOverride58.xml"/><Relationship Id="rId1" Type="http://schemas.openxmlformats.org/officeDocument/2006/relationships/package" Target="../embeddings/Workbook58.xlsx"/></Relationships>
</file>

<file path=word/charts/_rels/chart6.xml.rels><?xml version="1.0" encoding="UTF-8" standalone="yes"?>
<Relationships xmlns="http://schemas.openxmlformats.org/package/2006/relationships"><Relationship Id="rId5" Type="http://schemas.microsoft.com/office/2011/relationships/chartColorStyle" Target="colors18.xml"/><Relationship Id="rId4" Type="http://schemas.microsoft.com/office/2011/relationships/chartStyle" Target="style18.xml"/><Relationship Id="rId3" Type="http://schemas.openxmlformats.org/officeDocument/2006/relationships/image" Target="../media/image1.png"/><Relationship Id="rId2" Type="http://schemas.openxmlformats.org/officeDocument/2006/relationships/themeOverride" Target="../theme/themeOverride18.xml"/><Relationship Id="rId1" Type="http://schemas.openxmlformats.org/officeDocument/2006/relationships/package" Target="../embeddings/Workbook18.xlsx"/></Relationships>
</file>

<file path=word/charts/_rels/chart60.xml.rels><?xml version="1.0" encoding="UTF-8" standalone="yes"?>
<Relationships xmlns="http://schemas.openxmlformats.org/package/2006/relationships"><Relationship Id="rId5" Type="http://schemas.microsoft.com/office/2011/relationships/chartColorStyle" Target="colors62.xml"/><Relationship Id="rId4" Type="http://schemas.microsoft.com/office/2011/relationships/chartStyle" Target="style62.xml"/><Relationship Id="rId3" Type="http://schemas.openxmlformats.org/officeDocument/2006/relationships/image" Target="../media/image2.png"/><Relationship Id="rId2" Type="http://schemas.openxmlformats.org/officeDocument/2006/relationships/themeOverride" Target="../theme/themeOverride64.xml"/><Relationship Id="rId1" Type="http://schemas.openxmlformats.org/officeDocument/2006/relationships/package" Target="../embeddings/Workbook64.xlsx"/></Relationships>
</file>

<file path=word/charts/_rels/chart61.xml.rels><?xml version="1.0" encoding="UTF-8" standalone="yes"?>
<Relationships xmlns="http://schemas.openxmlformats.org/package/2006/relationships"><Relationship Id="rId5" Type="http://schemas.microsoft.com/office/2011/relationships/chartColorStyle" Target="colors41.xml"/><Relationship Id="rId4" Type="http://schemas.microsoft.com/office/2011/relationships/chartStyle" Target="style41.xml"/><Relationship Id="rId3" Type="http://schemas.openxmlformats.org/officeDocument/2006/relationships/image" Target="../media/image2.png"/><Relationship Id="rId2" Type="http://schemas.openxmlformats.org/officeDocument/2006/relationships/themeOverride" Target="../theme/themeOverride42.xml"/><Relationship Id="rId1" Type="http://schemas.openxmlformats.org/officeDocument/2006/relationships/package" Target="../embeddings/Workbook42.xlsx"/></Relationships>
</file>

<file path=word/charts/_rels/chart62.xml.rels><?xml version="1.0" encoding="UTF-8" standalone="yes"?>
<Relationships xmlns="http://schemas.openxmlformats.org/package/2006/relationships"><Relationship Id="rId5" Type="http://schemas.microsoft.com/office/2011/relationships/chartColorStyle" Target="colors60.xml"/><Relationship Id="rId4" Type="http://schemas.microsoft.com/office/2011/relationships/chartStyle" Target="style60.xml"/><Relationship Id="rId3" Type="http://schemas.openxmlformats.org/officeDocument/2006/relationships/image" Target="../media/image2.png"/><Relationship Id="rId2" Type="http://schemas.openxmlformats.org/officeDocument/2006/relationships/themeOverride" Target="../theme/themeOverride62.xml"/><Relationship Id="rId1" Type="http://schemas.openxmlformats.org/officeDocument/2006/relationships/package" Target="../embeddings/Workbook62.xlsx"/></Relationships>
</file>

<file path=word/charts/_rels/chart63.xml.rels><?xml version="1.0" encoding="UTF-8" standalone="yes"?>
<Relationships xmlns="http://schemas.openxmlformats.org/package/2006/relationships"><Relationship Id="rId5" Type="http://schemas.microsoft.com/office/2011/relationships/chartColorStyle" Target="colors61.xml"/><Relationship Id="rId4" Type="http://schemas.microsoft.com/office/2011/relationships/chartStyle" Target="style61.xml"/><Relationship Id="rId3" Type="http://schemas.openxmlformats.org/officeDocument/2006/relationships/image" Target="../media/image2.png"/><Relationship Id="rId2" Type="http://schemas.openxmlformats.org/officeDocument/2006/relationships/themeOverride" Target="../theme/themeOverride63.xml"/><Relationship Id="rId1" Type="http://schemas.openxmlformats.org/officeDocument/2006/relationships/package" Target="../embeddings/Workbook63.xlsx"/></Relationships>
</file>

<file path=word/charts/_rels/chart64.xml.rels><?xml version="1.0" encoding="UTF-8" standalone="yes"?>
<Relationships xmlns="http://schemas.openxmlformats.org/package/2006/relationships"><Relationship Id="rId5" Type="http://schemas.microsoft.com/office/2011/relationships/chartColorStyle" Target="colors42.xml"/><Relationship Id="rId4" Type="http://schemas.microsoft.com/office/2011/relationships/chartStyle" Target="style42.xml"/><Relationship Id="rId3" Type="http://schemas.openxmlformats.org/officeDocument/2006/relationships/image" Target="../media/image2.png"/><Relationship Id="rId2" Type="http://schemas.openxmlformats.org/officeDocument/2006/relationships/themeOverride" Target="../theme/themeOverride43.xml"/><Relationship Id="rId1" Type="http://schemas.openxmlformats.org/officeDocument/2006/relationships/package" Target="../embeddings/Workbook43.xlsx"/></Relationships>
</file>

<file path=word/charts/_rels/chart65.xml.rels><?xml version="1.0" encoding="UTF-8" standalone="yes"?>
<Relationships xmlns="http://schemas.openxmlformats.org/package/2006/relationships"><Relationship Id="rId5" Type="http://schemas.microsoft.com/office/2011/relationships/chartColorStyle" Target="colors63.xml"/><Relationship Id="rId4" Type="http://schemas.microsoft.com/office/2011/relationships/chartStyle" Target="style63.xml"/><Relationship Id="rId3" Type="http://schemas.openxmlformats.org/officeDocument/2006/relationships/image" Target="../media/image2.png"/><Relationship Id="rId2" Type="http://schemas.openxmlformats.org/officeDocument/2006/relationships/themeOverride" Target="../theme/themeOverride65.xml"/><Relationship Id="rId1" Type="http://schemas.openxmlformats.org/officeDocument/2006/relationships/package" Target="../embeddings/Workbook65.xlsx"/></Relationships>
</file>

<file path=word/charts/_rels/chart66.xml.rels><?xml version="1.0" encoding="UTF-8" standalone="yes"?>
<Relationships xmlns="http://schemas.openxmlformats.org/package/2006/relationships"><Relationship Id="rId5" Type="http://schemas.microsoft.com/office/2011/relationships/chartColorStyle" Target="colors43.xml"/><Relationship Id="rId4" Type="http://schemas.microsoft.com/office/2011/relationships/chartStyle" Target="style43.xml"/><Relationship Id="rId3" Type="http://schemas.openxmlformats.org/officeDocument/2006/relationships/image" Target="../media/image2.png"/><Relationship Id="rId2" Type="http://schemas.openxmlformats.org/officeDocument/2006/relationships/themeOverride" Target="../theme/themeOverride44.xml"/><Relationship Id="rId1" Type="http://schemas.openxmlformats.org/officeDocument/2006/relationships/package" Target="../embeddings/Workbook44.xlsx"/></Relationships>
</file>

<file path=word/charts/_rels/chart67.xml.rels><?xml version="1.0" encoding="UTF-8" standalone="yes"?>
<Relationships xmlns="http://schemas.openxmlformats.org/package/2006/relationships"><Relationship Id="rId5" Type="http://schemas.microsoft.com/office/2011/relationships/chartColorStyle" Target="colors39.xml"/><Relationship Id="rId4" Type="http://schemas.microsoft.com/office/2011/relationships/chartStyle" Target="style39.xml"/><Relationship Id="rId3" Type="http://schemas.openxmlformats.org/officeDocument/2006/relationships/image" Target="../media/image2.png"/><Relationship Id="rId2" Type="http://schemas.openxmlformats.org/officeDocument/2006/relationships/themeOverride" Target="../theme/themeOverride40.xml"/><Relationship Id="rId1" Type="http://schemas.openxmlformats.org/officeDocument/2006/relationships/package" Target="../embeddings/Workbook40.xlsx"/></Relationships>
</file>

<file path=word/charts/_rels/chart68.xml.rels><?xml version="1.0" encoding="UTF-8" standalone="yes"?>
<Relationships xmlns="http://schemas.openxmlformats.org/package/2006/relationships"><Relationship Id="rId5" Type="http://schemas.microsoft.com/office/2011/relationships/chartColorStyle" Target="colors65.xml"/><Relationship Id="rId4" Type="http://schemas.microsoft.com/office/2011/relationships/chartStyle" Target="style65.xml"/><Relationship Id="rId3" Type="http://schemas.openxmlformats.org/officeDocument/2006/relationships/image" Target="../media/image2.png"/><Relationship Id="rId2" Type="http://schemas.openxmlformats.org/officeDocument/2006/relationships/themeOverride" Target="../theme/themeOverride68.xml"/><Relationship Id="rId1" Type="http://schemas.openxmlformats.org/officeDocument/2006/relationships/package" Target="../embeddings/Workbook68.xlsx"/></Relationships>
</file>

<file path=word/charts/_rels/chart69.xml.rels><?xml version="1.0" encoding="UTF-8" standalone="yes"?>
<Relationships xmlns="http://schemas.openxmlformats.org/package/2006/relationships"><Relationship Id="rId5" Type="http://schemas.microsoft.com/office/2011/relationships/chartColorStyle" Target="colors67.xml"/><Relationship Id="rId4" Type="http://schemas.microsoft.com/office/2011/relationships/chartStyle" Target="style67.xml"/><Relationship Id="rId3" Type="http://schemas.openxmlformats.org/officeDocument/2006/relationships/image" Target="../media/image2.png"/><Relationship Id="rId2" Type="http://schemas.openxmlformats.org/officeDocument/2006/relationships/themeOverride" Target="../theme/themeOverride70.xml"/><Relationship Id="rId1" Type="http://schemas.openxmlformats.org/officeDocument/2006/relationships/package" Target="../embeddings/Workbook70.xlsx"/></Relationships>
</file>

<file path=word/charts/_rels/chart7.xml.rels><?xml version="1.0" encoding="UTF-8" standalone="yes"?>
<Relationships xmlns="http://schemas.openxmlformats.org/package/2006/relationships"><Relationship Id="rId5" Type="http://schemas.microsoft.com/office/2011/relationships/chartColorStyle" Target="colors11.xml"/><Relationship Id="rId4" Type="http://schemas.microsoft.com/office/2011/relationships/chartStyle" Target="style11.xml"/><Relationship Id="rId3" Type="http://schemas.openxmlformats.org/officeDocument/2006/relationships/image" Target="../media/image1.png"/><Relationship Id="rId2" Type="http://schemas.openxmlformats.org/officeDocument/2006/relationships/themeOverride" Target="../theme/themeOverride11.xml"/><Relationship Id="rId1" Type="http://schemas.openxmlformats.org/officeDocument/2006/relationships/package" Target="../embeddings/Workbook11.xlsx"/></Relationships>
</file>

<file path=word/charts/_rels/chart70.xml.rels><?xml version="1.0" encoding="UTF-8" standalone="yes"?>
<Relationships xmlns="http://schemas.openxmlformats.org/package/2006/relationships"><Relationship Id="rId5" Type="http://schemas.microsoft.com/office/2011/relationships/chartColorStyle" Target="colors66.xml"/><Relationship Id="rId4" Type="http://schemas.microsoft.com/office/2011/relationships/chartStyle" Target="style66.xml"/><Relationship Id="rId3" Type="http://schemas.openxmlformats.org/officeDocument/2006/relationships/image" Target="../media/image2.png"/><Relationship Id="rId2" Type="http://schemas.openxmlformats.org/officeDocument/2006/relationships/themeOverride" Target="../theme/themeOverride69.xml"/><Relationship Id="rId1" Type="http://schemas.openxmlformats.org/officeDocument/2006/relationships/package" Target="../embeddings/Workbook69.xlsx"/></Relationships>
</file>

<file path=word/charts/_rels/chart71.xml.rels><?xml version="1.0" encoding="UTF-8" standalone="yes"?>
<Relationships xmlns="http://schemas.openxmlformats.org/package/2006/relationships"><Relationship Id="rId5" Type="http://schemas.microsoft.com/office/2011/relationships/chartColorStyle" Target="colors86.xml"/><Relationship Id="rId4" Type="http://schemas.microsoft.com/office/2011/relationships/chartStyle" Target="style86.xml"/><Relationship Id="rId3" Type="http://schemas.openxmlformats.org/officeDocument/2006/relationships/image" Target="../media/image2.png"/><Relationship Id="rId2" Type="http://schemas.openxmlformats.org/officeDocument/2006/relationships/themeOverride" Target="../theme/themeOverride89.xml"/><Relationship Id="rId1" Type="http://schemas.openxmlformats.org/officeDocument/2006/relationships/package" Target="../embeddings/Workbook89.xlsx"/></Relationships>
</file>

<file path=word/charts/_rels/chart72.xml.rels><?xml version="1.0" encoding="UTF-8" standalone="yes"?>
<Relationships xmlns="http://schemas.openxmlformats.org/package/2006/relationships"><Relationship Id="rId5" Type="http://schemas.microsoft.com/office/2011/relationships/chartColorStyle" Target="colors69.xml"/><Relationship Id="rId4" Type="http://schemas.microsoft.com/office/2011/relationships/chartStyle" Target="style69.xml"/><Relationship Id="rId3" Type="http://schemas.openxmlformats.org/officeDocument/2006/relationships/image" Target="../media/image2.png"/><Relationship Id="rId2" Type="http://schemas.openxmlformats.org/officeDocument/2006/relationships/themeOverride" Target="../theme/themeOverride72.xml"/><Relationship Id="rId1" Type="http://schemas.openxmlformats.org/officeDocument/2006/relationships/package" Target="../embeddings/Workbook72.xlsx"/></Relationships>
</file>

<file path=word/charts/_rels/chart73.xml.rels><?xml version="1.0" encoding="UTF-8" standalone="yes"?>
<Relationships xmlns="http://schemas.openxmlformats.org/package/2006/relationships"><Relationship Id="rId5" Type="http://schemas.microsoft.com/office/2011/relationships/chartColorStyle" Target="colors85.xml"/><Relationship Id="rId4" Type="http://schemas.microsoft.com/office/2011/relationships/chartStyle" Target="style85.xml"/><Relationship Id="rId3" Type="http://schemas.openxmlformats.org/officeDocument/2006/relationships/image" Target="../media/image2.png"/><Relationship Id="rId2" Type="http://schemas.openxmlformats.org/officeDocument/2006/relationships/themeOverride" Target="../theme/themeOverride88.xml"/><Relationship Id="rId1" Type="http://schemas.openxmlformats.org/officeDocument/2006/relationships/package" Target="../embeddings/Workbook88.xlsx"/></Relationships>
</file>

<file path=word/charts/_rels/chart74.xml.rels><?xml version="1.0" encoding="UTF-8" standalone="yes"?>
<Relationships xmlns="http://schemas.openxmlformats.org/package/2006/relationships"><Relationship Id="rId5" Type="http://schemas.microsoft.com/office/2011/relationships/chartColorStyle" Target="colors71.xml"/><Relationship Id="rId4" Type="http://schemas.microsoft.com/office/2011/relationships/chartStyle" Target="style71.xml"/><Relationship Id="rId3" Type="http://schemas.openxmlformats.org/officeDocument/2006/relationships/image" Target="../media/image2.png"/><Relationship Id="rId2" Type="http://schemas.openxmlformats.org/officeDocument/2006/relationships/themeOverride" Target="../theme/themeOverride74.xml"/><Relationship Id="rId1" Type="http://schemas.openxmlformats.org/officeDocument/2006/relationships/package" Target="../embeddings/Workbook74.xlsx"/></Relationships>
</file>

<file path=word/charts/_rels/chart75.xml.rels><?xml version="1.0" encoding="UTF-8" standalone="yes"?>
<Relationships xmlns="http://schemas.openxmlformats.org/package/2006/relationships"><Relationship Id="rId5" Type="http://schemas.microsoft.com/office/2011/relationships/chartColorStyle" Target="colors97.xml"/><Relationship Id="rId4" Type="http://schemas.microsoft.com/office/2011/relationships/chartStyle" Target="style97.xml"/><Relationship Id="rId3" Type="http://schemas.openxmlformats.org/officeDocument/2006/relationships/image" Target="../media/image2.png"/><Relationship Id="rId2" Type="http://schemas.openxmlformats.org/officeDocument/2006/relationships/themeOverride" Target="../theme/themeOverride100.xml"/><Relationship Id="rId1" Type="http://schemas.openxmlformats.org/officeDocument/2006/relationships/package" Target="../embeddings/Workbook100.xlsx"/></Relationships>
</file>

<file path=word/charts/_rels/chart76.xml.rels><?xml version="1.0" encoding="UTF-8" standalone="yes"?>
<Relationships xmlns="http://schemas.openxmlformats.org/package/2006/relationships"><Relationship Id="rId5" Type="http://schemas.microsoft.com/office/2011/relationships/chartColorStyle" Target="colors93.xml"/><Relationship Id="rId4" Type="http://schemas.microsoft.com/office/2011/relationships/chartStyle" Target="style93.xml"/><Relationship Id="rId3" Type="http://schemas.openxmlformats.org/officeDocument/2006/relationships/image" Target="../media/image2.png"/><Relationship Id="rId2" Type="http://schemas.openxmlformats.org/officeDocument/2006/relationships/themeOverride" Target="../theme/themeOverride96.xml"/><Relationship Id="rId1" Type="http://schemas.openxmlformats.org/officeDocument/2006/relationships/package" Target="../embeddings/Workbook96.xlsx"/></Relationships>
</file>

<file path=word/charts/_rels/chart77.xml.rels><?xml version="1.0" encoding="UTF-8" standalone="yes"?>
<Relationships xmlns="http://schemas.openxmlformats.org/package/2006/relationships"><Relationship Id="rId5" Type="http://schemas.microsoft.com/office/2011/relationships/chartColorStyle" Target="colors88.xml"/><Relationship Id="rId4" Type="http://schemas.microsoft.com/office/2011/relationships/chartStyle" Target="style88.xml"/><Relationship Id="rId3" Type="http://schemas.openxmlformats.org/officeDocument/2006/relationships/image" Target="../media/image2.png"/><Relationship Id="rId2" Type="http://schemas.openxmlformats.org/officeDocument/2006/relationships/themeOverride" Target="../theme/themeOverride91.xml"/><Relationship Id="rId1" Type="http://schemas.openxmlformats.org/officeDocument/2006/relationships/package" Target="../embeddings/Workbook91.xlsx"/></Relationships>
</file>

<file path=word/charts/_rels/chart78.xml.rels><?xml version="1.0" encoding="UTF-8" standalone="yes"?>
<Relationships xmlns="http://schemas.openxmlformats.org/package/2006/relationships"><Relationship Id="rId5" Type="http://schemas.microsoft.com/office/2011/relationships/chartColorStyle" Target="colors84.xml"/><Relationship Id="rId4" Type="http://schemas.microsoft.com/office/2011/relationships/chartStyle" Target="style84.xml"/><Relationship Id="rId3" Type="http://schemas.openxmlformats.org/officeDocument/2006/relationships/image" Target="../media/image2.png"/><Relationship Id="rId2" Type="http://schemas.openxmlformats.org/officeDocument/2006/relationships/themeOverride" Target="../theme/themeOverride87.xml"/><Relationship Id="rId1" Type="http://schemas.openxmlformats.org/officeDocument/2006/relationships/package" Target="../embeddings/Workbook87.xlsx"/></Relationships>
</file>

<file path=word/charts/_rels/chart79.xml.rels><?xml version="1.0" encoding="UTF-8" standalone="yes"?>
<Relationships xmlns="http://schemas.openxmlformats.org/package/2006/relationships"><Relationship Id="rId5" Type="http://schemas.microsoft.com/office/2011/relationships/chartColorStyle" Target="colors90.xml"/><Relationship Id="rId4" Type="http://schemas.microsoft.com/office/2011/relationships/chartStyle" Target="style90.xml"/><Relationship Id="rId3" Type="http://schemas.openxmlformats.org/officeDocument/2006/relationships/image" Target="../media/image2.png"/><Relationship Id="rId2" Type="http://schemas.openxmlformats.org/officeDocument/2006/relationships/themeOverride" Target="../theme/themeOverride93.xml"/><Relationship Id="rId1" Type="http://schemas.openxmlformats.org/officeDocument/2006/relationships/package" Target="../embeddings/Workbook93.xlsx"/></Relationships>
</file>

<file path=word/charts/_rels/chart8.xml.rels><?xml version="1.0" encoding="UTF-8" standalone="yes"?>
<Relationships xmlns="http://schemas.openxmlformats.org/package/2006/relationships"><Relationship Id="rId5" Type="http://schemas.microsoft.com/office/2011/relationships/chartColorStyle" Target="colors7.xml"/><Relationship Id="rId4" Type="http://schemas.microsoft.com/office/2011/relationships/chartStyle" Target="style7.xml"/><Relationship Id="rId3" Type="http://schemas.openxmlformats.org/officeDocument/2006/relationships/image" Target="../media/image2.png"/><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80.xml.rels><?xml version="1.0" encoding="UTF-8" standalone="yes"?>
<Relationships xmlns="http://schemas.openxmlformats.org/package/2006/relationships"><Relationship Id="rId5" Type="http://schemas.microsoft.com/office/2011/relationships/chartColorStyle" Target="colors72.xml"/><Relationship Id="rId4" Type="http://schemas.microsoft.com/office/2011/relationships/chartStyle" Target="style72.xml"/><Relationship Id="rId3" Type="http://schemas.openxmlformats.org/officeDocument/2006/relationships/image" Target="../media/image2.png"/><Relationship Id="rId2" Type="http://schemas.openxmlformats.org/officeDocument/2006/relationships/themeOverride" Target="../theme/themeOverride75.xml"/><Relationship Id="rId1" Type="http://schemas.openxmlformats.org/officeDocument/2006/relationships/package" Target="../embeddings/Workbook75.xlsx"/></Relationships>
</file>

<file path=word/charts/_rels/chart81.xml.rels><?xml version="1.0" encoding="UTF-8" standalone="yes"?>
<Relationships xmlns="http://schemas.openxmlformats.org/package/2006/relationships"><Relationship Id="rId5" Type="http://schemas.microsoft.com/office/2011/relationships/chartColorStyle" Target="colors89.xml"/><Relationship Id="rId4" Type="http://schemas.microsoft.com/office/2011/relationships/chartStyle" Target="style89.xml"/><Relationship Id="rId3" Type="http://schemas.openxmlformats.org/officeDocument/2006/relationships/image" Target="../media/image2.png"/><Relationship Id="rId2" Type="http://schemas.openxmlformats.org/officeDocument/2006/relationships/themeOverride" Target="../theme/themeOverride92.xml"/><Relationship Id="rId1" Type="http://schemas.openxmlformats.org/officeDocument/2006/relationships/package" Target="../embeddings/Workbook92.xlsx"/></Relationships>
</file>

<file path=word/charts/_rels/chart82.xml.rels><?xml version="1.0" encoding="UTF-8" standalone="yes"?>
<Relationships xmlns="http://schemas.openxmlformats.org/package/2006/relationships"><Relationship Id="rId5" Type="http://schemas.microsoft.com/office/2011/relationships/chartColorStyle" Target="colors98.xml"/><Relationship Id="rId4" Type="http://schemas.microsoft.com/office/2011/relationships/chartStyle" Target="style98.xml"/><Relationship Id="rId3" Type="http://schemas.openxmlformats.org/officeDocument/2006/relationships/image" Target="../media/image2.png"/><Relationship Id="rId2" Type="http://schemas.openxmlformats.org/officeDocument/2006/relationships/themeOverride" Target="../theme/themeOverride101.xml"/><Relationship Id="rId1" Type="http://schemas.openxmlformats.org/officeDocument/2006/relationships/package" Target="../embeddings/Workbook101.xlsx"/></Relationships>
</file>

<file path=word/charts/_rels/chart83.xml.rels><?xml version="1.0" encoding="UTF-8" standalone="yes"?>
<Relationships xmlns="http://schemas.openxmlformats.org/package/2006/relationships"><Relationship Id="rId5" Type="http://schemas.microsoft.com/office/2011/relationships/chartColorStyle" Target="colors76.xml"/><Relationship Id="rId4" Type="http://schemas.microsoft.com/office/2011/relationships/chartStyle" Target="style76.xml"/><Relationship Id="rId3" Type="http://schemas.openxmlformats.org/officeDocument/2006/relationships/image" Target="../media/image2.png"/><Relationship Id="rId2" Type="http://schemas.openxmlformats.org/officeDocument/2006/relationships/themeOverride" Target="../theme/themeOverride79.xml"/><Relationship Id="rId1" Type="http://schemas.openxmlformats.org/officeDocument/2006/relationships/package" Target="../embeddings/Workbook79.xlsx"/></Relationships>
</file>

<file path=word/charts/_rels/chart84.xml.rels><?xml version="1.0" encoding="UTF-8" standalone="yes"?>
<Relationships xmlns="http://schemas.openxmlformats.org/package/2006/relationships"><Relationship Id="rId5" Type="http://schemas.microsoft.com/office/2011/relationships/chartColorStyle" Target="colors74.xml"/><Relationship Id="rId4" Type="http://schemas.microsoft.com/office/2011/relationships/chartStyle" Target="style74.xml"/><Relationship Id="rId3" Type="http://schemas.openxmlformats.org/officeDocument/2006/relationships/image" Target="../media/image2.png"/><Relationship Id="rId2" Type="http://schemas.openxmlformats.org/officeDocument/2006/relationships/themeOverride" Target="../theme/themeOverride77.xml"/><Relationship Id="rId1" Type="http://schemas.openxmlformats.org/officeDocument/2006/relationships/package" Target="../embeddings/Workbook77.xlsx"/></Relationships>
</file>

<file path=word/charts/_rels/chart85.xml.rels><?xml version="1.0" encoding="UTF-8" standalone="yes"?>
<Relationships xmlns="http://schemas.openxmlformats.org/package/2006/relationships"><Relationship Id="rId5" Type="http://schemas.microsoft.com/office/2011/relationships/chartColorStyle" Target="colors82.xml"/><Relationship Id="rId4" Type="http://schemas.microsoft.com/office/2011/relationships/chartStyle" Target="style82.xml"/><Relationship Id="rId3" Type="http://schemas.openxmlformats.org/officeDocument/2006/relationships/image" Target="../media/image2.png"/><Relationship Id="rId2" Type="http://schemas.openxmlformats.org/officeDocument/2006/relationships/themeOverride" Target="../theme/themeOverride85.xml"/><Relationship Id="rId1" Type="http://schemas.openxmlformats.org/officeDocument/2006/relationships/package" Target="../embeddings/Workbook85.xlsx"/></Relationships>
</file>

<file path=word/charts/_rels/chart86.xml.rels><?xml version="1.0" encoding="UTF-8" standalone="yes"?>
<Relationships xmlns="http://schemas.openxmlformats.org/package/2006/relationships"><Relationship Id="rId5" Type="http://schemas.microsoft.com/office/2011/relationships/chartColorStyle" Target="colors70.xml"/><Relationship Id="rId4" Type="http://schemas.microsoft.com/office/2011/relationships/chartStyle" Target="style70.xml"/><Relationship Id="rId3" Type="http://schemas.openxmlformats.org/officeDocument/2006/relationships/image" Target="../media/image2.png"/><Relationship Id="rId2" Type="http://schemas.openxmlformats.org/officeDocument/2006/relationships/themeOverride" Target="../theme/themeOverride73.xml"/><Relationship Id="rId1" Type="http://schemas.openxmlformats.org/officeDocument/2006/relationships/package" Target="../embeddings/Workbook73.xlsx"/></Relationships>
</file>

<file path=word/charts/_rels/chart87.xml.rels><?xml version="1.0" encoding="UTF-8" standalone="yes"?>
<Relationships xmlns="http://schemas.openxmlformats.org/package/2006/relationships"><Relationship Id="rId5" Type="http://schemas.microsoft.com/office/2011/relationships/chartColorStyle" Target="colors91.xml"/><Relationship Id="rId4" Type="http://schemas.microsoft.com/office/2011/relationships/chartStyle" Target="style91.xml"/><Relationship Id="rId3" Type="http://schemas.openxmlformats.org/officeDocument/2006/relationships/image" Target="../media/image2.png"/><Relationship Id="rId2" Type="http://schemas.openxmlformats.org/officeDocument/2006/relationships/themeOverride" Target="../theme/themeOverride94.xml"/><Relationship Id="rId1" Type="http://schemas.openxmlformats.org/officeDocument/2006/relationships/package" Target="../embeddings/Workbook94.xlsx"/></Relationships>
</file>

<file path=word/charts/_rels/chart88.xml.rels><?xml version="1.0" encoding="UTF-8" standalone="yes"?>
<Relationships xmlns="http://schemas.openxmlformats.org/package/2006/relationships"><Relationship Id="rId5" Type="http://schemas.microsoft.com/office/2011/relationships/chartColorStyle" Target="colors78.xml"/><Relationship Id="rId4" Type="http://schemas.microsoft.com/office/2011/relationships/chartStyle" Target="style78.xml"/><Relationship Id="rId3" Type="http://schemas.openxmlformats.org/officeDocument/2006/relationships/image" Target="../media/image2.png"/><Relationship Id="rId2" Type="http://schemas.openxmlformats.org/officeDocument/2006/relationships/themeOverride" Target="../theme/themeOverride81.xml"/><Relationship Id="rId1" Type="http://schemas.openxmlformats.org/officeDocument/2006/relationships/package" Target="../embeddings/Workbook81.xlsx"/></Relationships>
</file>

<file path=word/charts/_rels/chart89.xml.rels><?xml version="1.0" encoding="UTF-8" standalone="yes"?>
<Relationships xmlns="http://schemas.openxmlformats.org/package/2006/relationships"><Relationship Id="rId5" Type="http://schemas.microsoft.com/office/2011/relationships/chartColorStyle" Target="colors94.xml"/><Relationship Id="rId4" Type="http://schemas.microsoft.com/office/2011/relationships/chartStyle" Target="style94.xml"/><Relationship Id="rId3" Type="http://schemas.openxmlformats.org/officeDocument/2006/relationships/image" Target="../media/image2.png"/><Relationship Id="rId2" Type="http://schemas.openxmlformats.org/officeDocument/2006/relationships/themeOverride" Target="../theme/themeOverride97.xml"/><Relationship Id="rId1" Type="http://schemas.openxmlformats.org/officeDocument/2006/relationships/package" Target="../embeddings/Workbook97.xlsx"/></Relationships>
</file>

<file path=word/charts/_rels/chart9.xml.rels><?xml version="1.0" encoding="UTF-8" standalone="yes"?>
<Relationships xmlns="http://schemas.openxmlformats.org/package/2006/relationships"><Relationship Id="rId5" Type="http://schemas.microsoft.com/office/2011/relationships/chartColorStyle" Target="colors4.xml"/><Relationship Id="rId4" Type="http://schemas.microsoft.com/office/2011/relationships/chartStyle" Target="style4.xml"/><Relationship Id="rId3" Type="http://schemas.openxmlformats.org/officeDocument/2006/relationships/image" Target="../media/image2.png"/><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_rels/chart90.xml.rels><?xml version="1.0" encoding="UTF-8" standalone="yes"?>
<Relationships xmlns="http://schemas.openxmlformats.org/package/2006/relationships"><Relationship Id="rId5" Type="http://schemas.microsoft.com/office/2011/relationships/chartColorStyle" Target="colors87.xml"/><Relationship Id="rId4" Type="http://schemas.microsoft.com/office/2011/relationships/chartStyle" Target="style87.xml"/><Relationship Id="rId3" Type="http://schemas.openxmlformats.org/officeDocument/2006/relationships/image" Target="../media/image2.png"/><Relationship Id="rId2" Type="http://schemas.openxmlformats.org/officeDocument/2006/relationships/themeOverride" Target="../theme/themeOverride90.xml"/><Relationship Id="rId1" Type="http://schemas.openxmlformats.org/officeDocument/2006/relationships/package" Target="../embeddings/Workbook90.xlsx"/></Relationships>
</file>

<file path=word/charts/_rels/chart91.xml.rels><?xml version="1.0" encoding="UTF-8" standalone="yes"?>
<Relationships xmlns="http://schemas.openxmlformats.org/package/2006/relationships"><Relationship Id="rId5" Type="http://schemas.microsoft.com/office/2011/relationships/chartColorStyle" Target="colors68.xml"/><Relationship Id="rId4" Type="http://schemas.microsoft.com/office/2011/relationships/chartStyle" Target="style68.xml"/><Relationship Id="rId3" Type="http://schemas.openxmlformats.org/officeDocument/2006/relationships/image" Target="../media/image2.png"/><Relationship Id="rId2" Type="http://schemas.openxmlformats.org/officeDocument/2006/relationships/themeOverride" Target="../theme/themeOverride71.xml"/><Relationship Id="rId1" Type="http://schemas.openxmlformats.org/officeDocument/2006/relationships/package" Target="../embeddings/Workbook71.xlsx"/></Relationships>
</file>

<file path=word/charts/_rels/chart92.xml.rels><?xml version="1.0" encoding="UTF-8" standalone="yes"?>
<Relationships xmlns="http://schemas.openxmlformats.org/package/2006/relationships"><Relationship Id="rId5" Type="http://schemas.microsoft.com/office/2011/relationships/chartColorStyle" Target="colors79.xml"/><Relationship Id="rId4" Type="http://schemas.microsoft.com/office/2011/relationships/chartStyle" Target="style79.xml"/><Relationship Id="rId3" Type="http://schemas.openxmlformats.org/officeDocument/2006/relationships/image" Target="../media/image2.png"/><Relationship Id="rId2" Type="http://schemas.openxmlformats.org/officeDocument/2006/relationships/themeOverride" Target="../theme/themeOverride82.xml"/><Relationship Id="rId1" Type="http://schemas.openxmlformats.org/officeDocument/2006/relationships/package" Target="../embeddings/Workbook82.xlsx"/></Relationships>
</file>

<file path=word/charts/_rels/chart93.xml.rels><?xml version="1.0" encoding="UTF-8" standalone="yes"?>
<Relationships xmlns="http://schemas.openxmlformats.org/package/2006/relationships"><Relationship Id="rId5" Type="http://schemas.microsoft.com/office/2011/relationships/chartColorStyle" Target="colors73.xml"/><Relationship Id="rId4" Type="http://schemas.microsoft.com/office/2011/relationships/chartStyle" Target="style73.xml"/><Relationship Id="rId3" Type="http://schemas.openxmlformats.org/officeDocument/2006/relationships/image" Target="../media/image2.png"/><Relationship Id="rId2" Type="http://schemas.openxmlformats.org/officeDocument/2006/relationships/themeOverride" Target="../theme/themeOverride76.xml"/><Relationship Id="rId1" Type="http://schemas.openxmlformats.org/officeDocument/2006/relationships/package" Target="../embeddings/Workbook76.xlsx"/></Relationships>
</file>

<file path=word/charts/_rels/chart94.xml.rels><?xml version="1.0" encoding="UTF-8" standalone="yes"?>
<Relationships xmlns="http://schemas.openxmlformats.org/package/2006/relationships"><Relationship Id="rId5" Type="http://schemas.microsoft.com/office/2011/relationships/chartColorStyle" Target="colors92.xml"/><Relationship Id="rId4" Type="http://schemas.microsoft.com/office/2011/relationships/chartStyle" Target="style92.xml"/><Relationship Id="rId3" Type="http://schemas.openxmlformats.org/officeDocument/2006/relationships/image" Target="../media/image2.png"/><Relationship Id="rId2" Type="http://schemas.openxmlformats.org/officeDocument/2006/relationships/themeOverride" Target="../theme/themeOverride95.xml"/><Relationship Id="rId1" Type="http://schemas.openxmlformats.org/officeDocument/2006/relationships/package" Target="../embeddings/Workbook95.xlsx"/></Relationships>
</file>

<file path=word/charts/_rels/chart95.xml.rels><?xml version="1.0" encoding="UTF-8" standalone="yes"?>
<Relationships xmlns="http://schemas.openxmlformats.org/package/2006/relationships"><Relationship Id="rId5" Type="http://schemas.microsoft.com/office/2011/relationships/chartColorStyle" Target="colors80.xml"/><Relationship Id="rId4" Type="http://schemas.microsoft.com/office/2011/relationships/chartStyle" Target="style80.xml"/><Relationship Id="rId3" Type="http://schemas.openxmlformats.org/officeDocument/2006/relationships/image" Target="../media/image2.png"/><Relationship Id="rId2" Type="http://schemas.openxmlformats.org/officeDocument/2006/relationships/themeOverride" Target="../theme/themeOverride83.xml"/><Relationship Id="rId1" Type="http://schemas.openxmlformats.org/officeDocument/2006/relationships/package" Target="../embeddings/Workbook83.xlsx"/></Relationships>
</file>

<file path=word/charts/_rels/chart96.xml.rels><?xml version="1.0" encoding="UTF-8" standalone="yes"?>
<Relationships xmlns="http://schemas.openxmlformats.org/package/2006/relationships"><Relationship Id="rId5" Type="http://schemas.microsoft.com/office/2011/relationships/chartColorStyle" Target="colors95.xml"/><Relationship Id="rId4" Type="http://schemas.microsoft.com/office/2011/relationships/chartStyle" Target="style95.xml"/><Relationship Id="rId3" Type="http://schemas.openxmlformats.org/officeDocument/2006/relationships/image" Target="../media/image2.png"/><Relationship Id="rId2" Type="http://schemas.openxmlformats.org/officeDocument/2006/relationships/themeOverride" Target="../theme/themeOverride98.xml"/><Relationship Id="rId1" Type="http://schemas.openxmlformats.org/officeDocument/2006/relationships/package" Target="../embeddings/Workbook98.xlsx"/></Relationships>
</file>

<file path=word/charts/_rels/chart97.xml.rels><?xml version="1.0" encoding="UTF-8" standalone="yes"?>
<Relationships xmlns="http://schemas.openxmlformats.org/package/2006/relationships"><Relationship Id="rId5" Type="http://schemas.microsoft.com/office/2011/relationships/chartColorStyle" Target="colors96.xml"/><Relationship Id="rId4" Type="http://schemas.microsoft.com/office/2011/relationships/chartStyle" Target="style96.xml"/><Relationship Id="rId3" Type="http://schemas.openxmlformats.org/officeDocument/2006/relationships/image" Target="../media/image2.png"/><Relationship Id="rId2" Type="http://schemas.openxmlformats.org/officeDocument/2006/relationships/themeOverride" Target="../theme/themeOverride99.xml"/><Relationship Id="rId1" Type="http://schemas.openxmlformats.org/officeDocument/2006/relationships/package" Target="../embeddings/Workbook99.xlsx"/></Relationships>
</file>

<file path=word/charts/_rels/chart98.xml.rels><?xml version="1.0" encoding="UTF-8" standalone="yes"?>
<Relationships xmlns="http://schemas.openxmlformats.org/package/2006/relationships"><Relationship Id="rId5" Type="http://schemas.microsoft.com/office/2011/relationships/chartColorStyle" Target="colors75.xml"/><Relationship Id="rId4" Type="http://schemas.microsoft.com/office/2011/relationships/chartStyle" Target="style75.xml"/><Relationship Id="rId3" Type="http://schemas.openxmlformats.org/officeDocument/2006/relationships/image" Target="../media/image2.png"/><Relationship Id="rId2" Type="http://schemas.openxmlformats.org/officeDocument/2006/relationships/themeOverride" Target="../theme/themeOverride78.xml"/><Relationship Id="rId1" Type="http://schemas.openxmlformats.org/officeDocument/2006/relationships/package" Target="../embeddings/Workbook78.xlsx"/></Relationships>
</file>

<file path=word/charts/_rels/chart99.xml.rels><?xml version="1.0" encoding="UTF-8" standalone="yes"?>
<Relationships xmlns="http://schemas.openxmlformats.org/package/2006/relationships"><Relationship Id="rId5" Type="http://schemas.microsoft.com/office/2011/relationships/chartColorStyle" Target="colors77.xml"/><Relationship Id="rId4" Type="http://schemas.microsoft.com/office/2011/relationships/chartStyle" Target="style77.xml"/><Relationship Id="rId3" Type="http://schemas.openxmlformats.org/officeDocument/2006/relationships/image" Target="../media/image2.png"/><Relationship Id="rId2" Type="http://schemas.openxmlformats.org/officeDocument/2006/relationships/themeOverride" Target="../theme/themeOverride80.xml"/><Relationship Id="rId1" Type="http://schemas.openxmlformats.org/officeDocument/2006/relationships/package" Target="../embeddings/Workbook8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343575418994"/>
          <c:y val="0.0651519711104424"/>
          <c:w val="0.714897579143389"/>
          <c:h val="0.797532350285886"/>
        </c:manualLayout>
      </c:layout>
      <c:barChart>
        <c:barDir val="bar"/>
        <c:grouping val="stacked"/>
        <c:varyColors val="0"/>
        <c:ser>
          <c:idx val="0"/>
          <c:order val="0"/>
          <c:tx>
            <c:strRef>
              <c:f>Sheet1!$B$1</c:f>
              <c:strCache>
                <c:ptCount val="1"/>
                <c:pt idx="0">
                  <c:v>男生</c:v>
                </c:pt>
              </c:strCache>
            </c:strRef>
          </c:tx>
          <c:spPr>
            <a:solidFill>
              <a:srgbClr val="0F4C80"/>
            </a:solidFill>
            <a:ln>
              <a:noFill/>
            </a:ln>
            <a:effectLst/>
          </c:spPr>
          <c:invertIfNegative val="0"/>
          <c:dLbls>
            <c:dLbl>
              <c:idx val="0"/>
              <c:layout>
                <c:manualLayout>
                  <c:x val="-0.00605214152700186"/>
                  <c:y val="0.0012037315678603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戏曲学院</c:v>
                </c:pt>
                <c:pt idx="1">
                  <c:v>19社招班</c:v>
                </c:pt>
                <c:pt idx="2">
                  <c:v>新闻传媒学院</c:v>
                </c:pt>
                <c:pt idx="3">
                  <c:v>戏剧学院</c:v>
                </c:pt>
                <c:pt idx="4">
                  <c:v>音乐学院</c:v>
                </c:pt>
                <c:pt idx="5">
                  <c:v>综合艺术学院</c:v>
                </c:pt>
                <c:pt idx="6">
                  <c:v>舞蹈学院</c:v>
                </c:pt>
                <c:pt idx="7">
                  <c:v>美术学院</c:v>
                </c:pt>
              </c:strCache>
            </c:strRef>
          </c:cat>
          <c:val>
            <c:numRef>
              <c:f>Sheet1!$B$2:$B$9</c:f>
              <c:numCache>
                <c:formatCode>General</c:formatCode>
                <c:ptCount val="8"/>
                <c:pt idx="0">
                  <c:v>7</c:v>
                </c:pt>
                <c:pt idx="1">
                  <c:v>16</c:v>
                </c:pt>
                <c:pt idx="2">
                  <c:v>41</c:v>
                </c:pt>
                <c:pt idx="3">
                  <c:v>56</c:v>
                </c:pt>
                <c:pt idx="4">
                  <c:v>86</c:v>
                </c:pt>
                <c:pt idx="5">
                  <c:v>90</c:v>
                </c:pt>
                <c:pt idx="6">
                  <c:v>57</c:v>
                </c:pt>
                <c:pt idx="7">
                  <c:v>184</c:v>
                </c:pt>
              </c:numCache>
            </c:numRef>
          </c:val>
        </c:ser>
        <c:ser>
          <c:idx val="1"/>
          <c:order val="1"/>
          <c:tx>
            <c:strRef>
              <c:f>Sheet1!$C$1</c:f>
              <c:strCache>
                <c:ptCount val="1"/>
                <c:pt idx="0">
                  <c:v>女生</c:v>
                </c:pt>
              </c:strCache>
            </c:strRef>
          </c:tx>
          <c:spPr>
            <a:solidFill>
              <a:srgbClr val="EC6563"/>
            </a:solidFill>
            <a:ln>
              <a:noFill/>
            </a:ln>
            <a:effectLst/>
          </c:spPr>
          <c:invertIfNegative val="0"/>
          <c:dLbls>
            <c:dLbl>
              <c:idx val="0"/>
              <c:layout>
                <c:manualLayout>
                  <c:x val="0.0690176908752328"/>
                  <c:y val="0.0022569966897381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06284916201117"/>
                  <c:y val="0.0022569966897381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戏曲学院</c:v>
                </c:pt>
                <c:pt idx="1">
                  <c:v>19社招班</c:v>
                </c:pt>
                <c:pt idx="2">
                  <c:v>新闻传媒学院</c:v>
                </c:pt>
                <c:pt idx="3">
                  <c:v>戏剧学院</c:v>
                </c:pt>
                <c:pt idx="4">
                  <c:v>音乐学院</c:v>
                </c:pt>
                <c:pt idx="5">
                  <c:v>综合艺术学院</c:v>
                </c:pt>
                <c:pt idx="6">
                  <c:v>舞蹈学院</c:v>
                </c:pt>
                <c:pt idx="7">
                  <c:v>美术学院</c:v>
                </c:pt>
              </c:strCache>
            </c:strRef>
          </c:cat>
          <c:val>
            <c:numRef>
              <c:f>Sheet1!$C$2:$C$9</c:f>
              <c:numCache>
                <c:formatCode>General</c:formatCode>
                <c:ptCount val="8"/>
                <c:pt idx="0">
                  <c:v>10</c:v>
                </c:pt>
                <c:pt idx="1">
                  <c:v>14</c:v>
                </c:pt>
                <c:pt idx="2">
                  <c:v>42</c:v>
                </c:pt>
                <c:pt idx="3">
                  <c:v>70</c:v>
                </c:pt>
                <c:pt idx="4">
                  <c:v>110</c:v>
                </c:pt>
                <c:pt idx="5">
                  <c:v>150</c:v>
                </c:pt>
                <c:pt idx="6">
                  <c:v>273</c:v>
                </c:pt>
                <c:pt idx="7">
                  <c:v>198</c:v>
                </c:pt>
              </c:numCache>
            </c:numRef>
          </c:val>
        </c:ser>
        <c:dLbls>
          <c:showLegendKey val="0"/>
          <c:showVal val="0"/>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legend>
      <c:legendPos val="t"/>
      <c:layout>
        <c:manualLayout>
          <c:xMode val="edge"/>
          <c:yMode val="edge"/>
          <c:x val="0.384252793296089"/>
          <c:y val="0.92612097502257"/>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高等教育单位</c:v>
                </c:pt>
                <c:pt idx="1">
                  <c:v>医疗卫生单位</c:v>
                </c:pt>
                <c:pt idx="2">
                  <c:v>三资企业</c:v>
                </c:pt>
                <c:pt idx="3">
                  <c:v>机关</c:v>
                </c:pt>
                <c:pt idx="4">
                  <c:v>中初教育单位</c:v>
                </c:pt>
                <c:pt idx="5">
                  <c:v>城镇社区</c:v>
                </c:pt>
                <c:pt idx="6">
                  <c:v>其他事业单位</c:v>
                </c:pt>
                <c:pt idx="7">
                  <c:v>国有企业</c:v>
                </c:pt>
                <c:pt idx="8">
                  <c:v>其他企业</c:v>
                </c:pt>
              </c:strCache>
            </c:strRef>
          </c:cat>
          <c:val>
            <c:numRef>
              <c:f>Sheet1!$B$2:$B$10</c:f>
              <c:numCache>
                <c:formatCode>General</c:formatCode>
                <c:ptCount val="9"/>
                <c:pt idx="0">
                  <c:v>2</c:v>
                </c:pt>
                <c:pt idx="1">
                  <c:v>2</c:v>
                </c:pt>
                <c:pt idx="2">
                  <c:v>2</c:v>
                </c:pt>
                <c:pt idx="3">
                  <c:v>3</c:v>
                </c:pt>
                <c:pt idx="4">
                  <c:v>7</c:v>
                </c:pt>
                <c:pt idx="5">
                  <c:v>7</c:v>
                </c:pt>
                <c:pt idx="6">
                  <c:v>9</c:v>
                </c:pt>
                <c:pt idx="7">
                  <c:v>14</c:v>
                </c:pt>
                <c:pt idx="8">
                  <c:v>660</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106682649086"/>
          <c:w val="0.679166666666667"/>
          <c:h val="0.726221156727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其他</c:v>
                </c:pt>
                <c:pt idx="1">
                  <c:v>改善招聘场地基础设施</c:v>
                </c:pt>
                <c:pt idx="2">
                  <c:v>多提供实习实践机会</c:v>
                </c:pt>
                <c:pt idx="3">
                  <c:v>加强学生求职、择业方面培训指导</c:v>
                </c:pt>
                <c:pt idx="4">
                  <c:v>增强校园招聘会的宣传力度</c:v>
                </c:pt>
              </c:strCache>
            </c:strRef>
          </c:cat>
          <c:val>
            <c:numRef>
              <c:f>Sheet1!$B$2:$B$6</c:f>
              <c:numCache>
                <c:formatCode>0.00%</c:formatCode>
                <c:ptCount val="5"/>
                <c:pt idx="0">
                  <c:v>0.0326</c:v>
                </c:pt>
                <c:pt idx="1">
                  <c:v>0.1196</c:v>
                </c:pt>
                <c:pt idx="2">
                  <c:v>0.4022</c:v>
                </c:pt>
                <c:pt idx="3">
                  <c:v>0.5109</c:v>
                </c:pt>
                <c:pt idx="4">
                  <c:v>0.7609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430167597765"/>
          <c:y val="0.0812423708124237"/>
          <c:w val="0.644890595903166"/>
          <c:h val="0.783181879831819"/>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毕业生计算机或外语水平不够</c:v>
                </c:pt>
                <c:pt idx="1">
                  <c:v>政府职能未能很好发挥</c:v>
                </c:pt>
                <c:pt idx="2">
                  <c:v>毕业生综合素质不高</c:v>
                </c:pt>
                <c:pt idx="3">
                  <c:v>其他</c:v>
                </c:pt>
                <c:pt idx="4">
                  <c:v>毕业生动手操作能力差</c:v>
                </c:pt>
                <c:pt idx="5">
                  <c:v>单位不想承担人才继续培养的责任</c:v>
                </c:pt>
                <c:pt idx="6">
                  <c:v>社会舆论导向</c:v>
                </c:pt>
                <c:pt idx="7">
                  <c:v>学校培养不适应社会要求</c:v>
                </c:pt>
                <c:pt idx="8">
                  <c:v>毕业生供大于求</c:v>
                </c:pt>
                <c:pt idx="9">
                  <c:v>毕业生缺乏社会工作和实践经验</c:v>
                </c:pt>
                <c:pt idx="10">
                  <c:v>就业信息不对称</c:v>
                </c:pt>
                <c:pt idx="11">
                  <c:v>毕业生就业期望值过高</c:v>
                </c:pt>
              </c:strCache>
            </c:strRef>
          </c:cat>
          <c:val>
            <c:numRef>
              <c:f>Sheet1!$B$2:$B$13</c:f>
              <c:numCache>
                <c:formatCode>0.00%</c:formatCode>
                <c:ptCount val="12"/>
                <c:pt idx="0">
                  <c:v>0.0109</c:v>
                </c:pt>
                <c:pt idx="1">
                  <c:v>0.0326</c:v>
                </c:pt>
                <c:pt idx="2">
                  <c:v>0.0543</c:v>
                </c:pt>
                <c:pt idx="3">
                  <c:v>0.0652</c:v>
                </c:pt>
                <c:pt idx="4">
                  <c:v>0.0978</c:v>
                </c:pt>
                <c:pt idx="5">
                  <c:v>0.1087</c:v>
                </c:pt>
                <c:pt idx="6">
                  <c:v>0.1413</c:v>
                </c:pt>
                <c:pt idx="7">
                  <c:v>0.1522</c:v>
                </c:pt>
                <c:pt idx="8">
                  <c:v>0.3261</c:v>
                </c:pt>
                <c:pt idx="9">
                  <c:v>0.3804</c:v>
                </c:pt>
                <c:pt idx="10">
                  <c:v>0.413</c:v>
                </c:pt>
                <c:pt idx="11">
                  <c:v>0.6522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农林牧渔业技术人员</c:v>
                </c:pt>
                <c:pt idx="1">
                  <c:v>经济业务人员</c:v>
                </c:pt>
                <c:pt idx="2">
                  <c:v>金融业务人员</c:v>
                </c:pt>
                <c:pt idx="3">
                  <c:v>新闻出版和文化工作人员</c:v>
                </c:pt>
                <c:pt idx="4">
                  <c:v>生产和运输设备操作人员</c:v>
                </c:pt>
                <c:pt idx="5">
                  <c:v>体育工作人员</c:v>
                </c:pt>
                <c:pt idx="6">
                  <c:v>工程技术人员</c:v>
                </c:pt>
                <c:pt idx="7">
                  <c:v>办事人员和有关人员</c:v>
                </c:pt>
                <c:pt idx="8">
                  <c:v>其他专业技术人员</c:v>
                </c:pt>
                <c:pt idx="9">
                  <c:v>商业和服务业人员</c:v>
                </c:pt>
                <c:pt idx="10">
                  <c:v>文学艺术工作人员</c:v>
                </c:pt>
                <c:pt idx="11">
                  <c:v>教学人员</c:v>
                </c:pt>
                <c:pt idx="12">
                  <c:v>其他人员</c:v>
                </c:pt>
              </c:strCache>
            </c:strRef>
          </c:cat>
          <c:val>
            <c:numRef>
              <c:f>Sheet1!$B$2:$B$14</c:f>
              <c:numCache>
                <c:formatCode>General</c:formatCode>
                <c:ptCount val="13"/>
                <c:pt idx="0">
                  <c:v>1</c:v>
                </c:pt>
                <c:pt idx="1">
                  <c:v>3</c:v>
                </c:pt>
                <c:pt idx="2">
                  <c:v>4</c:v>
                </c:pt>
                <c:pt idx="3">
                  <c:v>4</c:v>
                </c:pt>
                <c:pt idx="4">
                  <c:v>4</c:v>
                </c:pt>
                <c:pt idx="5">
                  <c:v>6</c:v>
                </c:pt>
                <c:pt idx="6">
                  <c:v>17</c:v>
                </c:pt>
                <c:pt idx="7">
                  <c:v>24</c:v>
                </c:pt>
                <c:pt idx="8">
                  <c:v>32</c:v>
                </c:pt>
                <c:pt idx="9">
                  <c:v>77</c:v>
                </c:pt>
                <c:pt idx="10">
                  <c:v>99</c:v>
                </c:pt>
                <c:pt idx="11">
                  <c:v>156</c:v>
                </c:pt>
                <c:pt idx="12">
                  <c:v>279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华东地区</c:v>
                </c:pt>
                <c:pt idx="1">
                  <c:v>华中地区</c:v>
                </c:pt>
                <c:pt idx="2">
                  <c:v>华北地区</c:v>
                </c:pt>
                <c:pt idx="3">
                  <c:v>华南地区</c:v>
                </c:pt>
                <c:pt idx="4">
                  <c:v>西北地区</c:v>
                </c:pt>
              </c:strCache>
            </c:strRef>
          </c:cat>
          <c:val>
            <c:numRef>
              <c:f>Sheet1!$B$2:$B$6</c:f>
              <c:numCache>
                <c:formatCode>General</c:formatCode>
                <c:ptCount val="5"/>
                <c:pt idx="0">
                  <c:v>750</c:v>
                </c:pt>
                <c:pt idx="1">
                  <c:v>3</c:v>
                </c:pt>
                <c:pt idx="2">
                  <c:v>2</c:v>
                </c:pt>
                <c:pt idx="3">
                  <c:v>2</c:v>
                </c:pt>
                <c:pt idx="4">
                  <c:v>1</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安徽省</c:v>
                </c:pt>
                <c:pt idx="1">
                  <c:v>浙江省</c:v>
                </c:pt>
                <c:pt idx="2">
                  <c:v>江苏省</c:v>
                </c:pt>
                <c:pt idx="3">
                  <c:v>上海市</c:v>
                </c:pt>
                <c:pt idx="4">
                  <c:v>山东省</c:v>
                </c:pt>
                <c:pt idx="5">
                  <c:v>福建省</c:v>
                </c:pt>
                <c:pt idx="6">
                  <c:v>河南省</c:v>
                </c:pt>
                <c:pt idx="7">
                  <c:v>广东省</c:v>
                </c:pt>
                <c:pt idx="8">
                  <c:v>北京市</c:v>
                </c:pt>
                <c:pt idx="9">
                  <c:v>山西省</c:v>
                </c:pt>
                <c:pt idx="10">
                  <c:v>湖北省</c:v>
                </c:pt>
                <c:pt idx="11">
                  <c:v>陕西省</c:v>
                </c:pt>
              </c:strCache>
            </c:strRef>
          </c:cat>
          <c:val>
            <c:numRef>
              <c:f>Sheet1!$B$2:$B$13</c:f>
              <c:numCache>
                <c:formatCode>General</c:formatCode>
                <c:ptCount val="12"/>
                <c:pt idx="0">
                  <c:v>687</c:v>
                </c:pt>
                <c:pt idx="1">
                  <c:v>24</c:v>
                </c:pt>
                <c:pt idx="2">
                  <c:v>20</c:v>
                </c:pt>
                <c:pt idx="3">
                  <c:v>14</c:v>
                </c:pt>
                <c:pt idx="4">
                  <c:v>3</c:v>
                </c:pt>
                <c:pt idx="5">
                  <c:v>2</c:v>
                </c:pt>
                <c:pt idx="6">
                  <c:v>2</c:v>
                </c:pt>
                <c:pt idx="7">
                  <c:v>2</c:v>
                </c:pt>
                <c:pt idx="8">
                  <c:v>1</c:v>
                </c:pt>
                <c:pt idx="9">
                  <c:v>1</c:v>
                </c:pt>
                <c:pt idx="10">
                  <c:v>1</c:v>
                </c:pt>
                <c:pt idx="11">
                  <c:v>1</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7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省会城市</c:v>
                </c:pt>
                <c:pt idx="1">
                  <c:v>地级市</c:v>
                </c:pt>
                <c:pt idx="2">
                  <c:v>县</c:v>
                </c:pt>
                <c:pt idx="3">
                  <c:v>县级市</c:v>
                </c:pt>
                <c:pt idx="4">
                  <c:v>直辖市</c:v>
                </c:pt>
                <c:pt idx="5">
                  <c:v>计划单列市</c:v>
                </c:pt>
              </c:strCache>
            </c:strRef>
          </c:cat>
          <c:val>
            <c:numRef>
              <c:f>Sheet1!$B$2:$B$7</c:f>
              <c:numCache>
                <c:formatCode>General</c:formatCode>
                <c:ptCount val="6"/>
                <c:pt idx="0">
                  <c:v>364</c:v>
                </c:pt>
                <c:pt idx="1">
                  <c:v>184</c:v>
                </c:pt>
                <c:pt idx="2">
                  <c:v>142</c:v>
                </c:pt>
                <c:pt idx="3">
                  <c:v>41</c:v>
                </c:pt>
                <c:pt idx="4">
                  <c:v>15</c:v>
                </c:pt>
                <c:pt idx="5">
                  <c:v>5</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4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10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82865302237"/>
          <c:w val="0.833379694019471"/>
          <c:h val="0.552332222751071"/>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安徽省</c:v>
                </c:pt>
                <c:pt idx="1">
                  <c:v>江浙沪</c:v>
                </c:pt>
                <c:pt idx="2">
                  <c:v>环渤海经济圈</c:v>
                </c:pt>
                <c:pt idx="3">
                  <c:v>中原地区</c:v>
                </c:pt>
                <c:pt idx="4">
                  <c:v>其它地区</c:v>
                </c:pt>
                <c:pt idx="5">
                  <c:v>珠三角(广东)</c:v>
                </c:pt>
                <c:pt idx="6">
                  <c:v>西部城市</c:v>
                </c:pt>
              </c:strCache>
            </c:strRef>
          </c:cat>
          <c:val>
            <c:numRef>
              <c:f>Sheet1!$B$2:$B$8</c:f>
              <c:numCache>
                <c:formatCode>General</c:formatCode>
                <c:ptCount val="7"/>
                <c:pt idx="0">
                  <c:v>687</c:v>
                </c:pt>
                <c:pt idx="1">
                  <c:v>58</c:v>
                </c:pt>
                <c:pt idx="2">
                  <c:v>4</c:v>
                </c:pt>
                <c:pt idx="3">
                  <c:v>3</c:v>
                </c:pt>
                <c:pt idx="4">
                  <c:v>3</c:v>
                </c:pt>
                <c:pt idx="5">
                  <c:v>2</c:v>
                </c:pt>
                <c:pt idx="6">
                  <c:v>1</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7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10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新一线城市</c:v>
                </c:pt>
                <c:pt idx="1">
                  <c:v>三线城市</c:v>
                </c:pt>
                <c:pt idx="2">
                  <c:v>四线城市</c:v>
                </c:pt>
                <c:pt idx="3">
                  <c:v>二线城市</c:v>
                </c:pt>
                <c:pt idx="4">
                  <c:v>一线城市</c:v>
                </c:pt>
                <c:pt idx="5">
                  <c:v>五线城市</c:v>
                </c:pt>
              </c:strCache>
            </c:strRef>
          </c:cat>
          <c:val>
            <c:numRef>
              <c:f>Sheet1!$B$2:$B$7</c:f>
              <c:numCache>
                <c:formatCode>General</c:formatCode>
                <c:ptCount val="6"/>
                <c:pt idx="0">
                  <c:v>415</c:v>
                </c:pt>
                <c:pt idx="1">
                  <c:v>221</c:v>
                </c:pt>
                <c:pt idx="2">
                  <c:v>81</c:v>
                </c:pt>
                <c:pt idx="3">
                  <c:v>22</c:v>
                </c:pt>
                <c:pt idx="4">
                  <c:v>17</c:v>
                </c:pt>
                <c:pt idx="5">
                  <c:v>2</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82865302237"/>
          <c:w val="0.833323290411377"/>
          <c:h val="0.610875773441218"/>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合肥市</c:v>
                </c:pt>
                <c:pt idx="1">
                  <c:v>阜阳市</c:v>
                </c:pt>
                <c:pt idx="2">
                  <c:v>宿州市</c:v>
                </c:pt>
                <c:pt idx="3">
                  <c:v>六安市</c:v>
                </c:pt>
                <c:pt idx="4">
                  <c:v>芜湖市</c:v>
                </c:pt>
                <c:pt idx="5">
                  <c:v>淮北市</c:v>
                </c:pt>
                <c:pt idx="6">
                  <c:v>亳州市</c:v>
                </c:pt>
                <c:pt idx="7">
                  <c:v>安庆市</c:v>
                </c:pt>
                <c:pt idx="8">
                  <c:v>马鞍山市</c:v>
                </c:pt>
                <c:pt idx="9">
                  <c:v>蚌埠市</c:v>
                </c:pt>
                <c:pt idx="10">
                  <c:v>滁州市</c:v>
                </c:pt>
                <c:pt idx="11">
                  <c:v>池州市</c:v>
                </c:pt>
                <c:pt idx="12">
                  <c:v>宣城市</c:v>
                </c:pt>
                <c:pt idx="13">
                  <c:v>淮南市</c:v>
                </c:pt>
                <c:pt idx="14">
                  <c:v>铜陵市</c:v>
                </c:pt>
                <c:pt idx="15">
                  <c:v>黄山市</c:v>
                </c:pt>
              </c:strCache>
            </c:strRef>
          </c:cat>
          <c:val>
            <c:numRef>
              <c:f>Sheet1!$B$2:$B$17</c:f>
              <c:numCache>
                <c:formatCode>General</c:formatCode>
                <c:ptCount val="16"/>
                <c:pt idx="0">
                  <c:v>389</c:v>
                </c:pt>
                <c:pt idx="1">
                  <c:v>69</c:v>
                </c:pt>
                <c:pt idx="2">
                  <c:v>33</c:v>
                </c:pt>
                <c:pt idx="3">
                  <c:v>31</c:v>
                </c:pt>
                <c:pt idx="4">
                  <c:v>26</c:v>
                </c:pt>
                <c:pt idx="5">
                  <c:v>21</c:v>
                </c:pt>
                <c:pt idx="6">
                  <c:v>21</c:v>
                </c:pt>
                <c:pt idx="7">
                  <c:v>18</c:v>
                </c:pt>
                <c:pt idx="8">
                  <c:v>17</c:v>
                </c:pt>
                <c:pt idx="9">
                  <c:v>13</c:v>
                </c:pt>
                <c:pt idx="10">
                  <c:v>11</c:v>
                </c:pt>
                <c:pt idx="11">
                  <c:v>11</c:v>
                </c:pt>
                <c:pt idx="12">
                  <c:v>9</c:v>
                </c:pt>
                <c:pt idx="13">
                  <c:v>8</c:v>
                </c:pt>
                <c:pt idx="14">
                  <c:v>7</c:v>
                </c:pt>
                <c:pt idx="15">
                  <c:v>3</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40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10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79694019471"/>
          <c:h val="0.671728827529363"/>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合肥市</c:v>
                </c:pt>
                <c:pt idx="1">
                  <c:v>蜀山区</c:v>
                </c:pt>
                <c:pt idx="2">
                  <c:v>包河区</c:v>
                </c:pt>
                <c:pt idx="3">
                  <c:v>瑶海区</c:v>
                </c:pt>
                <c:pt idx="4">
                  <c:v>庐阳区</c:v>
                </c:pt>
                <c:pt idx="5">
                  <c:v>经开区</c:v>
                </c:pt>
                <c:pt idx="6">
                  <c:v>肥西县</c:v>
                </c:pt>
                <c:pt idx="7">
                  <c:v>肥东县</c:v>
                </c:pt>
                <c:pt idx="8">
                  <c:v>高新区</c:v>
                </c:pt>
                <c:pt idx="9">
                  <c:v>巢湖市</c:v>
                </c:pt>
                <c:pt idx="10">
                  <c:v>长丰县</c:v>
                </c:pt>
                <c:pt idx="11">
                  <c:v>庐江县</c:v>
                </c:pt>
                <c:pt idx="12">
                  <c:v>新站区</c:v>
                </c:pt>
              </c:strCache>
            </c:strRef>
          </c:cat>
          <c:val>
            <c:numRef>
              <c:f>Sheet1!$B$2:$B$14</c:f>
              <c:numCache>
                <c:formatCode>General</c:formatCode>
                <c:ptCount val="13"/>
                <c:pt idx="0">
                  <c:v>130</c:v>
                </c:pt>
                <c:pt idx="1">
                  <c:v>83</c:v>
                </c:pt>
                <c:pt idx="2">
                  <c:v>48</c:v>
                </c:pt>
                <c:pt idx="3">
                  <c:v>30</c:v>
                </c:pt>
                <c:pt idx="4">
                  <c:v>25</c:v>
                </c:pt>
                <c:pt idx="5">
                  <c:v>18</c:v>
                </c:pt>
                <c:pt idx="6">
                  <c:v>13</c:v>
                </c:pt>
                <c:pt idx="7">
                  <c:v>12</c:v>
                </c:pt>
                <c:pt idx="8">
                  <c:v>10</c:v>
                </c:pt>
                <c:pt idx="9">
                  <c:v>8</c:v>
                </c:pt>
                <c:pt idx="10">
                  <c:v>6</c:v>
                </c:pt>
                <c:pt idx="11">
                  <c:v>4</c:v>
                </c:pt>
                <c:pt idx="12">
                  <c:v>2</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8162779628748"/>
          <c:w val="0.833323290411377"/>
          <c:h val="0.610875773441218"/>
        </c:manualLayout>
      </c:layout>
      <c:lineChart>
        <c:grouping val="standard"/>
        <c:varyColors val="0"/>
        <c:ser>
          <c:idx val="0"/>
          <c:order val="0"/>
          <c:tx>
            <c:strRef>
              <c:f>Sheet1!$B$1</c:f>
              <c:strCache>
                <c:ptCount val="1"/>
                <c:pt idx="0">
                  <c:v>比例</c:v>
                </c:pt>
              </c:strCache>
            </c:strRef>
          </c:tx>
          <c:spPr>
            <a:ln w="28575" cap="rnd">
              <a:solidFill>
                <a:schemeClr val="accent1"/>
              </a:solidFill>
              <a:round/>
            </a:ln>
            <a:effectLst/>
          </c:spPr>
          <c:marker>
            <c:symbol val="none"/>
          </c:marker>
          <c:dPt>
            <c:idx val="2"/>
            <c:marker>
              <c:symbol val="none"/>
            </c:marker>
            <c:bubble3D val="0"/>
            <c:explosion val="0"/>
          </c:dPt>
          <c:dLbls>
            <c:spPr>
              <a:noFill/>
              <a:ln>
                <a:noFill/>
              </a:ln>
              <a:effectLst/>
            </c:spPr>
            <c:txPr>
              <a:bodyPr rot="0" spcFirstLastPara="0" vertOverflow="ellipsis" vert="eaVert" wrap="square" lIns="38100" tIns="19050" rIns="38100" bIns="19050" anchor="t" anchorCtr="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合肥市</c:v>
                </c:pt>
                <c:pt idx="1">
                  <c:v>池州市</c:v>
                </c:pt>
                <c:pt idx="2">
                  <c:v>马鞍山市</c:v>
                </c:pt>
                <c:pt idx="3">
                  <c:v>安庆市</c:v>
                </c:pt>
                <c:pt idx="4">
                  <c:v>阜阳市</c:v>
                </c:pt>
                <c:pt idx="5">
                  <c:v>芜湖市</c:v>
                </c:pt>
                <c:pt idx="6">
                  <c:v>铜陵市</c:v>
                </c:pt>
                <c:pt idx="7">
                  <c:v>淮北市</c:v>
                </c:pt>
                <c:pt idx="8">
                  <c:v>黄山市</c:v>
                </c:pt>
                <c:pt idx="9">
                  <c:v>宿州市</c:v>
                </c:pt>
                <c:pt idx="10">
                  <c:v>蚌埠市</c:v>
                </c:pt>
                <c:pt idx="11">
                  <c:v>宣城市</c:v>
                </c:pt>
                <c:pt idx="12">
                  <c:v>六安市</c:v>
                </c:pt>
                <c:pt idx="13">
                  <c:v>亳州市</c:v>
                </c:pt>
                <c:pt idx="14">
                  <c:v>滁州市</c:v>
                </c:pt>
                <c:pt idx="15">
                  <c:v>淮南市</c:v>
                </c:pt>
              </c:strCache>
            </c:strRef>
          </c:cat>
          <c:val>
            <c:numRef>
              <c:f>Sheet1!$B$2:$B$17</c:f>
              <c:numCache>
                <c:formatCode>0.00%</c:formatCode>
                <c:ptCount val="16"/>
                <c:pt idx="0">
                  <c:v>0.4835</c:v>
                </c:pt>
                <c:pt idx="1">
                  <c:v>0.3793</c:v>
                </c:pt>
                <c:pt idx="2">
                  <c:v>0.3721</c:v>
                </c:pt>
                <c:pt idx="3">
                  <c:v>0.2813</c:v>
                </c:pt>
                <c:pt idx="4">
                  <c:v>0.2773</c:v>
                </c:pt>
                <c:pt idx="5">
                  <c:v>0.2615</c:v>
                </c:pt>
                <c:pt idx="6">
                  <c:v>0.24</c:v>
                </c:pt>
                <c:pt idx="7">
                  <c:v>0.2308</c:v>
                </c:pt>
                <c:pt idx="8">
                  <c:v>0.2308</c:v>
                </c:pt>
                <c:pt idx="9">
                  <c:v>0.2302</c:v>
                </c:pt>
                <c:pt idx="10">
                  <c:v>0.2167</c:v>
                </c:pt>
                <c:pt idx="11">
                  <c:v>0.2162</c:v>
                </c:pt>
                <c:pt idx="12">
                  <c:v>0.1806</c:v>
                </c:pt>
                <c:pt idx="13">
                  <c:v>0.157</c:v>
                </c:pt>
                <c:pt idx="14">
                  <c:v>0.1311</c:v>
                </c:pt>
                <c:pt idx="15">
                  <c:v>0.1167</c:v>
                </c:pt>
              </c:numCache>
            </c:numRef>
          </c:val>
          <c:smooth val="0"/>
        </c:ser>
        <c:dLbls>
          <c:showLegendKey val="0"/>
          <c:showVal val="1"/>
          <c:showCatName val="0"/>
          <c:showSerName val="0"/>
          <c:showPercent val="0"/>
          <c:showBubbleSize val="0"/>
        </c:dLbls>
        <c:marker val="0"/>
        <c:smooth val="0"/>
        <c:axId val="605737016"/>
        <c:axId val="648436391"/>
      </c:line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0.6"/>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1"/>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8759368154"/>
          <c:y val="0.0903564805275088"/>
          <c:w val="0.833437103655021"/>
          <c:h val="0.683886255924171"/>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合肥市</c:v>
                </c:pt>
                <c:pt idx="1">
                  <c:v>阜阳市</c:v>
                </c:pt>
                <c:pt idx="2">
                  <c:v>六安市</c:v>
                </c:pt>
                <c:pt idx="3">
                  <c:v>宿州市</c:v>
                </c:pt>
                <c:pt idx="4">
                  <c:v>亳州市</c:v>
                </c:pt>
                <c:pt idx="5">
                  <c:v>芜湖市</c:v>
                </c:pt>
                <c:pt idx="6">
                  <c:v>淮北市</c:v>
                </c:pt>
                <c:pt idx="7">
                  <c:v>安庆市</c:v>
                </c:pt>
                <c:pt idx="8">
                  <c:v>滁州市</c:v>
                </c:pt>
                <c:pt idx="9">
                  <c:v>蚌埠市</c:v>
                </c:pt>
                <c:pt idx="10">
                  <c:v>淮南市</c:v>
                </c:pt>
                <c:pt idx="11">
                  <c:v>马鞍山市</c:v>
                </c:pt>
                <c:pt idx="12">
                  <c:v>宣城市</c:v>
                </c:pt>
                <c:pt idx="13">
                  <c:v>池州市</c:v>
                </c:pt>
                <c:pt idx="14">
                  <c:v>铜陵市</c:v>
                </c:pt>
                <c:pt idx="15">
                  <c:v>黄山市</c:v>
                </c:pt>
              </c:strCache>
            </c:strRef>
          </c:cat>
          <c:val>
            <c:numRef>
              <c:f>Sheet1!$B$2:$B$17</c:f>
              <c:numCache>
                <c:formatCode>General</c:formatCode>
                <c:ptCount val="16"/>
                <c:pt idx="0">
                  <c:v>242</c:v>
                </c:pt>
                <c:pt idx="1">
                  <c:v>220</c:v>
                </c:pt>
                <c:pt idx="2">
                  <c:v>144</c:v>
                </c:pt>
                <c:pt idx="3">
                  <c:v>126</c:v>
                </c:pt>
                <c:pt idx="4">
                  <c:v>121</c:v>
                </c:pt>
                <c:pt idx="5">
                  <c:v>65</c:v>
                </c:pt>
                <c:pt idx="6">
                  <c:v>65</c:v>
                </c:pt>
                <c:pt idx="7">
                  <c:v>64</c:v>
                </c:pt>
                <c:pt idx="8">
                  <c:v>61</c:v>
                </c:pt>
                <c:pt idx="9">
                  <c:v>60</c:v>
                </c:pt>
                <c:pt idx="10">
                  <c:v>60</c:v>
                </c:pt>
                <c:pt idx="11">
                  <c:v>43</c:v>
                </c:pt>
                <c:pt idx="12">
                  <c:v>37</c:v>
                </c:pt>
                <c:pt idx="13">
                  <c:v>29</c:v>
                </c:pt>
                <c:pt idx="14">
                  <c:v>25</c:v>
                </c:pt>
                <c:pt idx="15">
                  <c:v>13</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250"/>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8162779628748"/>
          <c:w val="0.833323290411377"/>
          <c:h val="0.610875773441218"/>
        </c:manualLayout>
      </c:layout>
      <c:barChart>
        <c:barDir val="col"/>
        <c:grouping val="cluster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Pt>
            <c:idx val="2"/>
            <c:invertIfNegative val="0"/>
            <c:bubble3D val="0"/>
            <c:explosion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合肥市</c:v>
                </c:pt>
                <c:pt idx="1">
                  <c:v>池州市</c:v>
                </c:pt>
                <c:pt idx="2">
                  <c:v>马鞍山市</c:v>
                </c:pt>
                <c:pt idx="3">
                  <c:v>安庆市</c:v>
                </c:pt>
                <c:pt idx="4">
                  <c:v>阜阳市</c:v>
                </c:pt>
                <c:pt idx="5">
                  <c:v>芜湖市</c:v>
                </c:pt>
                <c:pt idx="6">
                  <c:v>铜陵市</c:v>
                </c:pt>
                <c:pt idx="7">
                  <c:v>淮北市</c:v>
                </c:pt>
                <c:pt idx="8">
                  <c:v>黄山市</c:v>
                </c:pt>
                <c:pt idx="9">
                  <c:v>宿州市</c:v>
                </c:pt>
                <c:pt idx="10">
                  <c:v>蚌埠市</c:v>
                </c:pt>
                <c:pt idx="11">
                  <c:v>宣城市</c:v>
                </c:pt>
                <c:pt idx="12">
                  <c:v>六安市</c:v>
                </c:pt>
                <c:pt idx="13">
                  <c:v>亳州市</c:v>
                </c:pt>
                <c:pt idx="14">
                  <c:v>滁州市</c:v>
                </c:pt>
                <c:pt idx="15">
                  <c:v>淮南市</c:v>
                </c:pt>
              </c:strCache>
            </c:strRef>
          </c:cat>
          <c:val>
            <c:numRef>
              <c:f>Sheet1!$B$2:$B$17</c:f>
              <c:numCache>
                <c:formatCode>General</c:formatCode>
                <c:ptCount val="16"/>
                <c:pt idx="0">
                  <c:v>117</c:v>
                </c:pt>
                <c:pt idx="1">
                  <c:v>11</c:v>
                </c:pt>
                <c:pt idx="2">
                  <c:v>16</c:v>
                </c:pt>
                <c:pt idx="3">
                  <c:v>18</c:v>
                </c:pt>
                <c:pt idx="4">
                  <c:v>61</c:v>
                </c:pt>
                <c:pt idx="5">
                  <c:v>17</c:v>
                </c:pt>
                <c:pt idx="6">
                  <c:v>6</c:v>
                </c:pt>
                <c:pt idx="7">
                  <c:v>15</c:v>
                </c:pt>
                <c:pt idx="8">
                  <c:v>3</c:v>
                </c:pt>
                <c:pt idx="9">
                  <c:v>29</c:v>
                </c:pt>
                <c:pt idx="10">
                  <c:v>13</c:v>
                </c:pt>
                <c:pt idx="11">
                  <c:v>8</c:v>
                </c:pt>
                <c:pt idx="12">
                  <c:v>26</c:v>
                </c:pt>
                <c:pt idx="13">
                  <c:v>19</c:v>
                </c:pt>
                <c:pt idx="14">
                  <c:v>8</c:v>
                </c:pt>
                <c:pt idx="15">
                  <c:v>7</c:v>
                </c:pt>
              </c:numCache>
            </c:numRef>
          </c:val>
        </c:ser>
        <c:dLbls>
          <c:showLegendKey val="0"/>
          <c:showVal val="1"/>
          <c:showCatName val="0"/>
          <c:showSerName val="0"/>
          <c:showPercent val="0"/>
          <c:showBubbleSize val="0"/>
        </c:dLbls>
        <c:gapWidth val="150"/>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20"/>
        </c:scaling>
        <c:delete val="0"/>
        <c:axPos val="l"/>
        <c:majorGridlines>
          <c:spPr>
            <a:ln w="9525" cap="flat" cmpd="sng" algn="ctr">
              <a:solidFill>
                <a:schemeClr val="bg1">
                  <a:lumMod val="950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20"/>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80912476722532"/>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出国出境</c:v>
                </c:pt>
                <c:pt idx="1">
                  <c:v>应征入伍</c:v>
                </c:pt>
                <c:pt idx="2">
                  <c:v>自主创业</c:v>
                </c:pt>
                <c:pt idx="3">
                  <c:v>待就业和暂不就业（不含求职中）</c:v>
                </c:pt>
                <c:pt idx="4">
                  <c:v>自由职业</c:v>
                </c:pt>
                <c:pt idx="5">
                  <c:v>求职中</c:v>
                </c:pt>
                <c:pt idx="6">
                  <c:v>已落实就业单位</c:v>
                </c:pt>
                <c:pt idx="7">
                  <c:v>内地升学（考研、专升本、二学位）</c:v>
                </c:pt>
              </c:strCache>
            </c:strRef>
          </c:cat>
          <c:val>
            <c:numRef>
              <c:f>Sheet1!$B$2:$B$9</c:f>
              <c:numCache>
                <c:formatCode>0.00%</c:formatCode>
                <c:ptCount val="8"/>
                <c:pt idx="0">
                  <c:v>0.0024</c:v>
                </c:pt>
                <c:pt idx="1">
                  <c:v>0.0061</c:v>
                </c:pt>
                <c:pt idx="2">
                  <c:v>0.0208</c:v>
                </c:pt>
                <c:pt idx="3">
                  <c:v>0.0342</c:v>
                </c:pt>
                <c:pt idx="4">
                  <c:v>0.0416</c:v>
                </c:pt>
                <c:pt idx="5">
                  <c:v>0.0795</c:v>
                </c:pt>
                <c:pt idx="6">
                  <c:v>0.3252</c:v>
                </c:pt>
                <c:pt idx="7">
                  <c:v>0.4902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8235567970205"/>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在校创业孵化支持</c:v>
                </c:pt>
                <c:pt idx="1">
                  <c:v>创业培训</c:v>
                </c:pt>
                <c:pt idx="2">
                  <c:v>辅导求职策略</c:v>
                </c:pt>
                <c:pt idx="3">
                  <c:v>辅导面试技巧</c:v>
                </c:pt>
                <c:pt idx="4">
                  <c:v>组织校园招聘活动</c:v>
                </c:pt>
                <c:pt idx="5">
                  <c:v>没有提供任何求职辅导服务</c:v>
                </c:pt>
                <c:pt idx="6">
                  <c:v>辅导简历写作</c:v>
                </c:pt>
                <c:pt idx="7">
                  <c:v>发布招聘需求与薪资信息</c:v>
                </c:pt>
                <c:pt idx="8">
                  <c:v>职业发展规划</c:v>
                </c:pt>
                <c:pt idx="9">
                  <c:v>大学生涯规划</c:v>
                </c:pt>
              </c:strCache>
            </c:strRef>
          </c:cat>
          <c:val>
            <c:numRef>
              <c:f>Sheet1!$B$2:$B$11</c:f>
              <c:numCache>
                <c:formatCode>0.00%</c:formatCode>
                <c:ptCount val="10"/>
                <c:pt idx="0">
                  <c:v>0.0024</c:v>
                </c:pt>
                <c:pt idx="1">
                  <c:v>0.0122</c:v>
                </c:pt>
                <c:pt idx="2">
                  <c:v>0.0147</c:v>
                </c:pt>
                <c:pt idx="3">
                  <c:v>0.0208</c:v>
                </c:pt>
                <c:pt idx="4">
                  <c:v>0.0367</c:v>
                </c:pt>
                <c:pt idx="5">
                  <c:v>0.0367</c:v>
                </c:pt>
                <c:pt idx="6">
                  <c:v>0.0538</c:v>
                </c:pt>
                <c:pt idx="7">
                  <c:v>0.0795</c:v>
                </c:pt>
                <c:pt idx="8">
                  <c:v>0.1895</c:v>
                </c:pt>
                <c:pt idx="9">
                  <c:v>0.5538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没有任何作用</c:v>
                </c:pt>
                <c:pt idx="1">
                  <c:v>没有太大作用</c:v>
                </c:pt>
                <c:pt idx="2">
                  <c:v>非常实用</c:v>
                </c:pt>
                <c:pt idx="3">
                  <c:v>有一些作用</c:v>
                </c:pt>
              </c:strCache>
            </c:strRef>
          </c:cat>
          <c:val>
            <c:numRef>
              <c:f>Sheet1!$B$2:$B$5</c:f>
              <c:numCache>
                <c:formatCode>0.00%</c:formatCode>
                <c:ptCount val="4"/>
                <c:pt idx="0">
                  <c:v>0.022</c:v>
                </c:pt>
                <c:pt idx="1">
                  <c:v>0.1455</c:v>
                </c:pt>
                <c:pt idx="2">
                  <c:v>0.3619</c:v>
                </c:pt>
                <c:pt idx="3">
                  <c:v>0.4707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加强招聘会场地建设</c:v>
                </c:pt>
                <c:pt idx="1">
                  <c:v>加强职业发展规划指导</c:v>
                </c:pt>
                <c:pt idx="2">
                  <c:v>其他</c:v>
                </c:pt>
                <c:pt idx="3">
                  <c:v>加强求职方法技巧辅导</c:v>
                </c:pt>
                <c:pt idx="4">
                  <c:v>加强创业教育及培训</c:v>
                </c:pt>
                <c:pt idx="5">
                  <c:v>就业指导与专业教育相结合</c:v>
                </c:pt>
                <c:pt idx="6">
                  <c:v>提供招聘企业的咨询服务</c:v>
                </c:pt>
                <c:pt idx="7">
                  <c:v>开设就业指导课程和讲座</c:v>
                </c:pt>
                <c:pt idx="8">
                  <c:v>举办更多的校园招聘会</c:v>
                </c:pt>
                <c:pt idx="9">
                  <c:v>针对毕业生就业的个体咨询</c:v>
                </c:pt>
                <c:pt idx="10">
                  <c:v>宣传解释国家和地方有关毕业生的就业政策</c:v>
                </c:pt>
                <c:pt idx="11">
                  <c:v>提供更多的针对性就业信息</c:v>
                </c:pt>
              </c:strCache>
            </c:strRef>
          </c:cat>
          <c:val>
            <c:numRef>
              <c:f>Sheet1!$B$2:$B$13</c:f>
              <c:numCache>
                <c:formatCode>0.00%</c:formatCode>
                <c:ptCount val="12"/>
                <c:pt idx="0">
                  <c:v>0.0721</c:v>
                </c:pt>
                <c:pt idx="1">
                  <c:v>0.0831</c:v>
                </c:pt>
                <c:pt idx="2">
                  <c:v>0.0868</c:v>
                </c:pt>
                <c:pt idx="3">
                  <c:v>0.1308</c:v>
                </c:pt>
                <c:pt idx="4">
                  <c:v>0.1345</c:v>
                </c:pt>
                <c:pt idx="5">
                  <c:v>0.154</c:v>
                </c:pt>
                <c:pt idx="6">
                  <c:v>0.1577</c:v>
                </c:pt>
                <c:pt idx="7">
                  <c:v>0.1614</c:v>
                </c:pt>
                <c:pt idx="8">
                  <c:v>0.3423</c:v>
                </c:pt>
                <c:pt idx="9">
                  <c:v>0.3692</c:v>
                </c:pt>
                <c:pt idx="10">
                  <c:v>0.4682</c:v>
                </c:pt>
                <c:pt idx="11">
                  <c:v>0.5575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其他</c:v>
                </c:pt>
                <c:pt idx="1">
                  <c:v>开展创业培训</c:v>
                </c:pt>
                <c:pt idx="2">
                  <c:v>进行就业政策和法律指导</c:v>
                </c:pt>
                <c:pt idx="3">
                  <c:v>进行求职技能培训</c:v>
                </c:pt>
                <c:pt idx="4">
                  <c:v>指导学生进行职业规划</c:v>
                </c:pt>
                <c:pt idx="5">
                  <c:v>提供就业实习或实践机会</c:v>
                </c:pt>
                <c:pt idx="6">
                  <c:v>提供专业化和个性化的就业指导</c:v>
                </c:pt>
                <c:pt idx="7">
                  <c:v>组织校园招聘会</c:v>
                </c:pt>
                <c:pt idx="8">
                  <c:v>提供准确有效的就业信息</c:v>
                </c:pt>
              </c:strCache>
            </c:strRef>
          </c:cat>
          <c:val>
            <c:numRef>
              <c:f>Sheet1!$B$2:$B$10</c:f>
              <c:numCache>
                <c:formatCode>0.00%</c:formatCode>
                <c:ptCount val="9"/>
                <c:pt idx="0">
                  <c:v>0.0844</c:v>
                </c:pt>
                <c:pt idx="1">
                  <c:v>0.0929</c:v>
                </c:pt>
                <c:pt idx="2">
                  <c:v>0.1394</c:v>
                </c:pt>
                <c:pt idx="3">
                  <c:v>0.1809</c:v>
                </c:pt>
                <c:pt idx="4">
                  <c:v>0.3191</c:v>
                </c:pt>
                <c:pt idx="5">
                  <c:v>0.3386</c:v>
                </c:pt>
                <c:pt idx="6">
                  <c:v>0.423</c:v>
                </c:pt>
                <c:pt idx="7">
                  <c:v>0.4425</c:v>
                </c:pt>
                <c:pt idx="8">
                  <c:v>0.6064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指导教师没有起到指导作用</c:v>
                </c:pt>
                <c:pt idx="1">
                  <c:v>一种学习形式</c:v>
                </c:pt>
                <c:pt idx="2">
                  <c:v>实习单位将实习生当免费劳动力</c:v>
                </c:pt>
                <c:pt idx="3">
                  <c:v>实习实践安排时间不合理</c:v>
                </c:pt>
                <c:pt idx="4">
                  <c:v>实习实践时间太短</c:v>
                </c:pt>
                <c:pt idx="5">
                  <c:v>实习单位提供的实践操作机会少</c:v>
                </c:pt>
                <c:pt idx="6">
                  <c:v>学校没有安排毕业实习或教学计划中没有毕业实习的学分要求</c:v>
                </c:pt>
                <c:pt idx="7">
                  <c:v>对学校组织的毕业实习实践感到满意</c:v>
                </c:pt>
                <c:pt idx="8">
                  <c:v>可供选择的实习单位太少</c:v>
                </c:pt>
              </c:strCache>
            </c:strRef>
          </c:cat>
          <c:val>
            <c:numRef>
              <c:f>Sheet1!$B$2:$B$10</c:f>
              <c:numCache>
                <c:formatCode>0.00%</c:formatCode>
                <c:ptCount val="9"/>
                <c:pt idx="0">
                  <c:v>0.099</c:v>
                </c:pt>
                <c:pt idx="1" c:formatCode="General">
                  <c:v>0</c:v>
                </c:pt>
                <c:pt idx="2" c:formatCode="General">
                  <c:v>0</c:v>
                </c:pt>
                <c:pt idx="3">
                  <c:v>0.1687</c:v>
                </c:pt>
                <c:pt idx="4">
                  <c:v>0.1797</c:v>
                </c:pt>
                <c:pt idx="5">
                  <c:v>0.2103</c:v>
                </c:pt>
                <c:pt idx="6">
                  <c:v>0.2372</c:v>
                </c:pt>
                <c:pt idx="7" c:formatCode="General">
                  <c:v>0</c:v>
                </c:pt>
                <c:pt idx="8">
                  <c:v>0.401</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不准备参与</c:v>
                </c:pt>
                <c:pt idx="1">
                  <c:v>没参与过但准备参与</c:v>
                </c:pt>
                <c:pt idx="2">
                  <c:v>想参与但是没有途径</c:v>
                </c:pt>
                <c:pt idx="3">
                  <c:v>在社会机构参与过</c:v>
                </c:pt>
                <c:pt idx="4">
                  <c:v>在学校参与过</c:v>
                </c:pt>
              </c:strCache>
            </c:strRef>
          </c:cat>
          <c:val>
            <c:numRef>
              <c:f>Sheet1!$B$2:$B$6</c:f>
              <c:numCache>
                <c:formatCode>0.00%</c:formatCode>
                <c:ptCount val="5"/>
                <c:pt idx="0">
                  <c:v>0.1357</c:v>
                </c:pt>
                <c:pt idx="1">
                  <c:v>0.1638</c:v>
                </c:pt>
                <c:pt idx="2">
                  <c:v>0.1968</c:v>
                </c:pt>
                <c:pt idx="3">
                  <c:v>0.2298</c:v>
                </c:pt>
                <c:pt idx="4">
                  <c:v>0.2738</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非常严峻，根本找不到工作</c:v>
                </c:pt>
                <c:pt idx="1">
                  <c:v>非常乐观，自信能找到满意的工作</c:v>
                </c:pt>
                <c:pt idx="2">
                  <c:v>较严峻，较难找到合适的工作</c:v>
                </c:pt>
                <c:pt idx="3">
                  <c:v>不容乐观，但通过努力可以找到工作</c:v>
                </c:pt>
              </c:strCache>
            </c:strRef>
          </c:cat>
          <c:val>
            <c:numRef>
              <c:f>Sheet1!$B$2:$B$5</c:f>
              <c:numCache>
                <c:formatCode>0.00%</c:formatCode>
                <c:ptCount val="4"/>
                <c:pt idx="0">
                  <c:v>0.0477</c:v>
                </c:pt>
                <c:pt idx="1">
                  <c:v>0.2311</c:v>
                </c:pt>
                <c:pt idx="2">
                  <c:v>0.2751</c:v>
                </c:pt>
                <c:pt idx="3">
                  <c:v>0.4462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非常了解</c:v>
                </c:pt>
                <c:pt idx="1">
                  <c:v>不了解</c:v>
                </c:pt>
                <c:pt idx="2">
                  <c:v>一般了解</c:v>
                </c:pt>
              </c:strCache>
            </c:strRef>
          </c:cat>
          <c:val>
            <c:numRef>
              <c:f>Sheet1!$B$2:$B$4</c:f>
              <c:numCache>
                <c:formatCode>0.00%</c:formatCode>
                <c:ptCount val="3"/>
                <c:pt idx="0">
                  <c:v>0.1724</c:v>
                </c:pt>
                <c:pt idx="1">
                  <c:v>0.1822</c:v>
                </c:pt>
                <c:pt idx="2">
                  <c:v>0.6455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61980013944"/>
          <c:y val="0.0903564805275088"/>
          <c:w val="0.833418545201023"/>
          <c:h val="0.715001030290542"/>
        </c:manualLayout>
      </c:layout>
      <c:barChart>
        <c:barDir val="col"/>
        <c:grouping val="clustered"/>
        <c:varyColors val="0"/>
        <c:ser>
          <c:idx val="2"/>
          <c:order val="0"/>
          <c:tx>
            <c:strRef>
              <c:f>Sheet1!$B$1</c:f>
              <c:strCache>
                <c:ptCount val="1"/>
                <c:pt idx="0">
                  <c:v>专科生</c:v>
                </c:pt>
              </c:strCache>
            </c:strRef>
          </c:tx>
          <c:spPr>
            <a:solidFill>
              <a:schemeClr val="accent3"/>
            </a:solidFill>
            <a:ln>
              <a:noFill/>
            </a:ln>
            <a:effectLst/>
          </c:spPr>
          <c:invertIfNegative val="0"/>
          <c:dPt>
            <c:idx val="0"/>
            <c:invertIfNegative val="0"/>
            <c:bubble3D val="0"/>
            <c:spPr>
              <a:solidFill>
                <a:srgbClr val="4F81BD"/>
              </a:solidFill>
              <a:ln>
                <a:noFill/>
              </a:ln>
              <a:effectLst/>
            </c:spPr>
          </c:dPt>
          <c:dPt>
            <c:idx val="1"/>
            <c:invertIfNegative val="0"/>
            <c:bubble3D val="0"/>
            <c:spPr>
              <a:solidFill>
                <a:srgbClr val="9BBB59"/>
              </a:solidFill>
              <a:ln>
                <a:noFill/>
              </a:ln>
              <a:effectLst/>
            </c:spPr>
          </c:dPt>
          <c:dPt>
            <c:idx val="2"/>
            <c:invertIfNegative val="0"/>
            <c:bubble3D val="0"/>
            <c:spPr>
              <a:solidFill>
                <a:srgbClr val="F79646"/>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男</c:v>
                </c:pt>
                <c:pt idx="1">
                  <c:v>平均</c:v>
                </c:pt>
                <c:pt idx="2">
                  <c:v>女</c:v>
                </c:pt>
              </c:strCache>
            </c:strRef>
          </c:cat>
          <c:val>
            <c:numRef>
              <c:f>Sheet1!$B$2:$B$4</c:f>
              <c:numCache>
                <c:formatCode>0.00%</c:formatCode>
                <c:ptCount val="3"/>
                <c:pt idx="0">
                  <c:v>0.8994</c:v>
                </c:pt>
                <c:pt idx="1">
                  <c:v>0.9067</c:v>
                </c:pt>
                <c:pt idx="2">
                  <c:v>0.9112</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min val="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报纸、电视、电台等</c:v>
                </c:pt>
                <c:pt idx="1">
                  <c:v>家长朋辈</c:v>
                </c:pt>
                <c:pt idx="2">
                  <c:v>抖音等自媒体</c:v>
                </c:pt>
                <c:pt idx="3">
                  <c:v>其他</c:v>
                </c:pt>
                <c:pt idx="4">
                  <c:v>就业指导课</c:v>
                </c:pt>
                <c:pt idx="5">
                  <c:v>学校的就业服务部门(校园海报宣传/短信通知/母校就业信息网/母校就业小程序/母校就业微信公众号等)</c:v>
                </c:pt>
              </c:strCache>
            </c:strRef>
          </c:cat>
          <c:val>
            <c:numRef>
              <c:f>Sheet1!$B$2:$B$7</c:f>
              <c:numCache>
                <c:formatCode>0.00%</c:formatCode>
                <c:ptCount val="6"/>
                <c:pt idx="0">
                  <c:v>0.0358</c:v>
                </c:pt>
                <c:pt idx="1">
                  <c:v>0.0776</c:v>
                </c:pt>
                <c:pt idx="2">
                  <c:v>0.1179</c:v>
                </c:pt>
                <c:pt idx="3">
                  <c:v>0.1493</c:v>
                </c:pt>
                <c:pt idx="4">
                  <c:v>0.1955</c:v>
                </c:pt>
                <c:pt idx="5">
                  <c:v>0.4239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港澳台及外资企业</c:v>
                </c:pt>
                <c:pt idx="1">
                  <c:v>部队</c:v>
                </c:pt>
                <c:pt idx="2">
                  <c:v>民营企业</c:v>
                </c:pt>
                <c:pt idx="3">
                  <c:v>国有及集体企业</c:v>
                </c:pt>
                <c:pt idx="4">
                  <c:v>政府机关</c:v>
                </c:pt>
                <c:pt idx="5">
                  <c:v>其他</c:v>
                </c:pt>
                <c:pt idx="6">
                  <c:v>事业单位</c:v>
                </c:pt>
              </c:strCache>
            </c:strRef>
          </c:cat>
          <c:val>
            <c:numRef>
              <c:f>Sheet1!$B$2:$B$8</c:f>
              <c:numCache>
                <c:formatCode>0.00%</c:formatCode>
                <c:ptCount val="7"/>
                <c:pt idx="0">
                  <c:v>0.003</c:v>
                </c:pt>
                <c:pt idx="1">
                  <c:v>0.0151</c:v>
                </c:pt>
                <c:pt idx="2">
                  <c:v>0.0967</c:v>
                </c:pt>
                <c:pt idx="3">
                  <c:v>0.139</c:v>
                </c:pt>
                <c:pt idx="4">
                  <c:v>0.145</c:v>
                </c:pt>
                <c:pt idx="5">
                  <c:v>0.2779</c:v>
                </c:pt>
                <c:pt idx="6">
                  <c:v>0.3233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环渤海经济圈（北京+天津+河北+山东）</c:v>
                </c:pt>
                <c:pt idx="1">
                  <c:v>珠三角经济圈（广东+香港+澳门）</c:v>
                </c:pt>
                <c:pt idx="2">
                  <c:v>其他地区</c:v>
                </c:pt>
                <c:pt idx="3">
                  <c:v>长三角(除皖)经济圈（上海+江苏+浙江）</c:v>
                </c:pt>
                <c:pt idx="4">
                  <c:v>安徽省内其他地市</c:v>
                </c:pt>
                <c:pt idx="5">
                  <c:v>合肥市</c:v>
                </c:pt>
              </c:strCache>
            </c:strRef>
          </c:cat>
          <c:val>
            <c:numRef>
              <c:f>Sheet1!$B$2:$B$7</c:f>
              <c:numCache>
                <c:formatCode>0.00%</c:formatCode>
                <c:ptCount val="6"/>
                <c:pt idx="0">
                  <c:v>0.006</c:v>
                </c:pt>
                <c:pt idx="1">
                  <c:v>0.0121</c:v>
                </c:pt>
                <c:pt idx="2">
                  <c:v>0.0906</c:v>
                </c:pt>
                <c:pt idx="3">
                  <c:v>0.1269</c:v>
                </c:pt>
                <c:pt idx="4">
                  <c:v>0.2659</c:v>
                </c:pt>
                <c:pt idx="5">
                  <c:v>0.4985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既是母校所在地也是生源所在地</c:v>
                </c:pt>
                <c:pt idx="1">
                  <c:v>其他地区</c:v>
                </c:pt>
                <c:pt idx="2">
                  <c:v>生源所在地</c:v>
                </c:pt>
                <c:pt idx="3">
                  <c:v>母校所在地</c:v>
                </c:pt>
              </c:strCache>
            </c:strRef>
          </c:cat>
          <c:val>
            <c:numRef>
              <c:f>Sheet1!$B$2:$B$5</c:f>
              <c:numCache>
                <c:formatCode>0.00%</c:formatCode>
                <c:ptCount val="4"/>
                <c:pt idx="0">
                  <c:v>0.1631</c:v>
                </c:pt>
                <c:pt idx="1">
                  <c:v>0.2568</c:v>
                </c:pt>
                <c:pt idx="2">
                  <c:v>0.2719</c:v>
                </c:pt>
                <c:pt idx="3">
                  <c:v>0.3082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15000-19999元</c:v>
                </c:pt>
                <c:pt idx="1">
                  <c:v>2000元以下</c:v>
                </c:pt>
                <c:pt idx="2">
                  <c:v>12000-14999元</c:v>
                </c:pt>
                <c:pt idx="3">
                  <c:v>20000元及以上</c:v>
                </c:pt>
                <c:pt idx="4">
                  <c:v>10000-11999元</c:v>
                </c:pt>
                <c:pt idx="5">
                  <c:v>2000-3999元</c:v>
                </c:pt>
                <c:pt idx="6">
                  <c:v>8000-9999元</c:v>
                </c:pt>
                <c:pt idx="7">
                  <c:v>6000-7999元</c:v>
                </c:pt>
                <c:pt idx="8">
                  <c:v>4000-5999元</c:v>
                </c:pt>
              </c:strCache>
            </c:strRef>
          </c:cat>
          <c:val>
            <c:numRef>
              <c:f>Sheet1!$B$2:$B$10</c:f>
              <c:numCache>
                <c:formatCode>0.00%</c:formatCode>
                <c:ptCount val="9"/>
                <c:pt idx="0">
                  <c:v>0.003</c:v>
                </c:pt>
                <c:pt idx="1">
                  <c:v>0.0091</c:v>
                </c:pt>
                <c:pt idx="2">
                  <c:v>0.0091</c:v>
                </c:pt>
                <c:pt idx="3">
                  <c:v>0.0363</c:v>
                </c:pt>
                <c:pt idx="4">
                  <c:v>0.0423</c:v>
                </c:pt>
                <c:pt idx="5">
                  <c:v>0.0967</c:v>
                </c:pt>
                <c:pt idx="6">
                  <c:v>0.1027</c:v>
                </c:pt>
                <c:pt idx="7">
                  <c:v>0.3112</c:v>
                </c:pt>
                <c:pt idx="8">
                  <c:v>0.3897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报纸、电视、电台等</c:v>
                </c:pt>
                <c:pt idx="1">
                  <c:v>校友推荐</c:v>
                </c:pt>
                <c:pt idx="2">
                  <c:v>校园双选会、宣讲会</c:v>
                </c:pt>
                <c:pt idx="3">
                  <c:v>学校老师推荐</c:v>
                </c:pt>
                <c:pt idx="4">
                  <c:v>各级各类人才市场</c:v>
                </c:pt>
                <c:pt idx="5">
                  <c:v>其他</c:v>
                </c:pt>
                <c:pt idx="6">
                  <c:v>亲友推荐</c:v>
                </c:pt>
                <c:pt idx="7">
                  <c:v>社会化专业求职网站</c:v>
                </c:pt>
                <c:pt idx="8">
                  <c:v>学校的就业推荐服务</c:v>
                </c:pt>
              </c:strCache>
            </c:strRef>
          </c:cat>
          <c:val>
            <c:numRef>
              <c:f>Sheet1!$B$2:$B$10</c:f>
              <c:numCache>
                <c:formatCode>0.00%</c:formatCode>
                <c:ptCount val="9"/>
                <c:pt idx="0">
                  <c:v>0.0393</c:v>
                </c:pt>
                <c:pt idx="1">
                  <c:v>0.0937</c:v>
                </c:pt>
                <c:pt idx="2">
                  <c:v>0.1269</c:v>
                </c:pt>
                <c:pt idx="3">
                  <c:v>0.2266</c:v>
                </c:pt>
                <c:pt idx="4">
                  <c:v>0.2719</c:v>
                </c:pt>
                <c:pt idx="5">
                  <c:v>0.284</c:v>
                </c:pt>
                <c:pt idx="6">
                  <c:v>0.3353</c:v>
                </c:pt>
                <c:pt idx="7">
                  <c:v>0.3535</c:v>
                </c:pt>
                <c:pt idx="8">
                  <c:v>0.4018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11-20份</c:v>
                </c:pt>
                <c:pt idx="1">
                  <c:v>20份以上</c:v>
                </c:pt>
                <c:pt idx="2">
                  <c:v>0（没有投过简历）</c:v>
                </c:pt>
                <c:pt idx="3">
                  <c:v>6-10份</c:v>
                </c:pt>
                <c:pt idx="4">
                  <c:v>1-5份</c:v>
                </c:pt>
              </c:strCache>
            </c:strRef>
          </c:cat>
          <c:val>
            <c:numRef>
              <c:f>Sheet1!$B$2:$B$6</c:f>
              <c:numCache>
                <c:formatCode>0.00%</c:formatCode>
                <c:ptCount val="5"/>
                <c:pt idx="0">
                  <c:v>0.0544</c:v>
                </c:pt>
                <c:pt idx="1">
                  <c:v>0.0725</c:v>
                </c:pt>
                <c:pt idx="2">
                  <c:v>0.1662</c:v>
                </c:pt>
                <c:pt idx="3">
                  <c:v>0.1813</c:v>
                </c:pt>
                <c:pt idx="4">
                  <c:v>0.5257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6-10次</c:v>
                </c:pt>
                <c:pt idx="1">
                  <c:v>10次以上</c:v>
                </c:pt>
                <c:pt idx="2">
                  <c:v>1次</c:v>
                </c:pt>
                <c:pt idx="3">
                  <c:v>2-5次</c:v>
                </c:pt>
                <c:pt idx="4">
                  <c:v>0（到目前为止，没有参加过）</c:v>
                </c:pt>
              </c:strCache>
            </c:strRef>
          </c:cat>
          <c:val>
            <c:numRef>
              <c:f>Sheet1!$B$2:$B$6</c:f>
              <c:numCache>
                <c:formatCode>0.00%</c:formatCode>
                <c:ptCount val="5"/>
                <c:pt idx="0">
                  <c:v>0.0151</c:v>
                </c:pt>
                <c:pt idx="1">
                  <c:v>0.0211</c:v>
                </c:pt>
                <c:pt idx="2">
                  <c:v>0.1541</c:v>
                </c:pt>
                <c:pt idx="3">
                  <c:v>0.1631</c:v>
                </c:pt>
                <c:pt idx="4">
                  <c:v>0.6465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6-10个</c:v>
                </c:pt>
                <c:pt idx="1">
                  <c:v>10个以上</c:v>
                </c:pt>
                <c:pt idx="2">
                  <c:v>0（到目前为止，没有面试过）</c:v>
                </c:pt>
                <c:pt idx="3">
                  <c:v>1个</c:v>
                </c:pt>
                <c:pt idx="4">
                  <c:v>2-5个</c:v>
                </c:pt>
              </c:strCache>
            </c:strRef>
          </c:cat>
          <c:val>
            <c:numRef>
              <c:f>Sheet1!$B$2:$B$6</c:f>
              <c:numCache>
                <c:formatCode>0.00%</c:formatCode>
                <c:ptCount val="5"/>
                <c:pt idx="0">
                  <c:v>0.0876</c:v>
                </c:pt>
                <c:pt idx="1">
                  <c:v>0.1148</c:v>
                </c:pt>
                <c:pt idx="2">
                  <c:v>0.1511</c:v>
                </c:pt>
                <c:pt idx="3">
                  <c:v>0.1934</c:v>
                </c:pt>
                <c:pt idx="4">
                  <c:v>0.4532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3个</c:v>
                </c:pt>
                <c:pt idx="1">
                  <c:v>0（到目前为止，还没有收到Offer）</c:v>
                </c:pt>
                <c:pt idx="2">
                  <c:v>2个</c:v>
                </c:pt>
                <c:pt idx="3">
                  <c:v>3个以上</c:v>
                </c:pt>
                <c:pt idx="4">
                  <c:v>1个</c:v>
                </c:pt>
              </c:strCache>
            </c:strRef>
          </c:cat>
          <c:val>
            <c:numRef>
              <c:f>Sheet1!$B$2:$B$6</c:f>
              <c:numCache>
                <c:formatCode>0.00%</c:formatCode>
                <c:ptCount val="5"/>
                <c:pt idx="0">
                  <c:v>0.1088</c:v>
                </c:pt>
                <c:pt idx="1">
                  <c:v>0.1903</c:v>
                </c:pt>
                <c:pt idx="2">
                  <c:v>0.2085</c:v>
                </c:pt>
                <c:pt idx="3">
                  <c:v>0.2266</c:v>
                </c:pt>
                <c:pt idx="4">
                  <c:v>0.2659</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毕业去向落实率</c:v>
                </c:pt>
                <c:pt idx="1">
                  <c:v>签订协议和劳动合同就业率</c:v>
                </c:pt>
                <c:pt idx="2">
                  <c:v>灵活就业率</c:v>
                </c:pt>
                <c:pt idx="3">
                  <c:v>创业率</c:v>
                </c:pt>
                <c:pt idx="4">
                  <c:v>升学率(含出国留学)</c:v>
                </c:pt>
                <c:pt idx="5">
                  <c:v>暂不就业率</c:v>
                </c:pt>
                <c:pt idx="6">
                  <c:v>待就业率</c:v>
                </c:pt>
              </c:strCache>
            </c:strRef>
          </c:cat>
          <c:val>
            <c:numRef>
              <c:f>Sheet1!$B$2:$B$8</c:f>
              <c:numCache>
                <c:formatCode>0.00%</c:formatCode>
                <c:ptCount val="7"/>
                <c:pt idx="0">
                  <c:v>0.9067</c:v>
                </c:pt>
                <c:pt idx="1">
                  <c:v>0.5128</c:v>
                </c:pt>
                <c:pt idx="2">
                  <c:v>0.0427</c:v>
                </c:pt>
                <c:pt idx="3">
                  <c:v>0.0142</c:v>
                </c:pt>
                <c:pt idx="4">
                  <c:v>0.3369</c:v>
                </c:pt>
                <c:pt idx="5">
                  <c:v>0.0207</c:v>
                </c:pt>
                <c:pt idx="6">
                  <c:v>0.0726</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4000-5000元</c:v>
                </c:pt>
                <c:pt idx="1">
                  <c:v>&gt;5000元</c:v>
                </c:pt>
                <c:pt idx="2">
                  <c:v>3000-4000元</c:v>
                </c:pt>
                <c:pt idx="3">
                  <c:v>2000-3000元</c:v>
                </c:pt>
                <c:pt idx="4">
                  <c:v>1000-2000元</c:v>
                </c:pt>
                <c:pt idx="5">
                  <c:v>≤1000元</c:v>
                </c:pt>
              </c:strCache>
            </c:strRef>
          </c:cat>
          <c:val>
            <c:numRef>
              <c:f>Sheet1!$B$2:$B$7</c:f>
              <c:numCache>
                <c:formatCode>0.00%</c:formatCode>
                <c:ptCount val="6"/>
                <c:pt idx="0">
                  <c:v>0.0363</c:v>
                </c:pt>
                <c:pt idx="1">
                  <c:v>0.0363</c:v>
                </c:pt>
                <c:pt idx="2">
                  <c:v>0.0574</c:v>
                </c:pt>
                <c:pt idx="3">
                  <c:v>0.1088</c:v>
                </c:pt>
                <c:pt idx="4">
                  <c:v>0.2115</c:v>
                </c:pt>
                <c:pt idx="5">
                  <c:v>0.5498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四个月内</c:v>
                </c:pt>
                <c:pt idx="1">
                  <c:v>四个月以上</c:v>
                </c:pt>
                <c:pt idx="2">
                  <c:v>三个月内</c:v>
                </c:pt>
                <c:pt idx="3">
                  <c:v>两个月内</c:v>
                </c:pt>
                <c:pt idx="4">
                  <c:v>一个月内</c:v>
                </c:pt>
              </c:strCache>
            </c:strRef>
          </c:cat>
          <c:val>
            <c:numRef>
              <c:f>Sheet1!$B$2:$B$6</c:f>
              <c:numCache>
                <c:formatCode>0.00%</c:formatCode>
                <c:ptCount val="5"/>
                <c:pt idx="0">
                  <c:v>0.0181</c:v>
                </c:pt>
                <c:pt idx="1">
                  <c:v>0.0634</c:v>
                </c:pt>
                <c:pt idx="2">
                  <c:v>0.1269</c:v>
                </c:pt>
                <c:pt idx="3">
                  <c:v>0.136</c:v>
                </c:pt>
                <c:pt idx="4">
                  <c:v>0.6556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人际关系</c:v>
                </c:pt>
                <c:pt idx="1">
                  <c:v>单位知名度</c:v>
                </c:pt>
                <c:pt idx="2">
                  <c:v>其他</c:v>
                </c:pt>
                <c:pt idx="3">
                  <c:v>专业对口</c:v>
                </c:pt>
                <c:pt idx="4">
                  <c:v>工作环境、强度、自由度等</c:v>
                </c:pt>
                <c:pt idx="5">
                  <c:v>单位性质(国企、机关事业、三资、民营等)</c:v>
                </c:pt>
                <c:pt idx="6">
                  <c:v>符合个人性格、兴趣爱好</c:v>
                </c:pt>
                <c:pt idx="7">
                  <c:v>工作稳定性</c:v>
                </c:pt>
                <c:pt idx="8">
                  <c:v>薪资福利</c:v>
                </c:pt>
                <c:pt idx="9">
                  <c:v>行业前景</c:v>
                </c:pt>
                <c:pt idx="10">
                  <c:v>个人发展前景</c:v>
                </c:pt>
                <c:pt idx="11">
                  <c:v>地理位置(经济状况(经济发展水平)、离家距离、大城市(城市规模)等)</c:v>
                </c:pt>
              </c:strCache>
            </c:strRef>
          </c:cat>
          <c:val>
            <c:numRef>
              <c:f>Sheet1!$B$2:$B$13</c:f>
              <c:numCache>
                <c:formatCode>0.00%</c:formatCode>
                <c:ptCount val="12"/>
                <c:pt idx="0">
                  <c:v>0.0302</c:v>
                </c:pt>
                <c:pt idx="1">
                  <c:v>0.0514</c:v>
                </c:pt>
                <c:pt idx="2">
                  <c:v>0.0574</c:v>
                </c:pt>
                <c:pt idx="3">
                  <c:v>0.0937</c:v>
                </c:pt>
                <c:pt idx="4">
                  <c:v>0.1178</c:v>
                </c:pt>
                <c:pt idx="5">
                  <c:v>0.1782</c:v>
                </c:pt>
                <c:pt idx="6">
                  <c:v>0.2085</c:v>
                </c:pt>
                <c:pt idx="7">
                  <c:v>0.2205</c:v>
                </c:pt>
                <c:pt idx="8">
                  <c:v>0.2356</c:v>
                </c:pt>
                <c:pt idx="9">
                  <c:v>0.3776</c:v>
                </c:pt>
                <c:pt idx="10">
                  <c:v>0.571</c:v>
                </c:pt>
                <c:pt idx="11">
                  <c:v>0.6073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导师知名度</c:v>
                </c:pt>
                <c:pt idx="1">
                  <c:v>性别</c:v>
                </c:pt>
                <c:pt idx="2">
                  <c:v>校友资源</c:v>
                </c:pt>
                <c:pt idx="3">
                  <c:v>家庭社会关系</c:v>
                </c:pt>
                <c:pt idx="4">
                  <c:v>外语、计算机等通用技能等级</c:v>
                </c:pt>
                <c:pt idx="5">
                  <c:v>外表形象</c:v>
                </c:pt>
                <c:pt idx="6">
                  <c:v>其他</c:v>
                </c:pt>
                <c:pt idx="7">
                  <c:v>相关技能证书</c:v>
                </c:pt>
                <c:pt idx="8">
                  <c:v>实践操作技能</c:v>
                </c:pt>
                <c:pt idx="9">
                  <c:v>沟通表达能力</c:v>
                </c:pt>
                <c:pt idx="10">
                  <c:v>学校知名度</c:v>
                </c:pt>
                <c:pt idx="11">
                  <c:v>学科专业优势</c:v>
                </c:pt>
                <c:pt idx="12">
                  <c:v>专业知识水平</c:v>
                </c:pt>
                <c:pt idx="13">
                  <c:v>实习实践经历</c:v>
                </c:pt>
              </c:strCache>
            </c:strRef>
          </c:cat>
          <c:val>
            <c:numRef>
              <c:f>Sheet1!$B$2:$B$15</c:f>
              <c:numCache>
                <c:formatCode>0.00%</c:formatCode>
                <c:ptCount val="14"/>
                <c:pt idx="0">
                  <c:v>0.003</c:v>
                </c:pt>
                <c:pt idx="1">
                  <c:v>0.003</c:v>
                </c:pt>
                <c:pt idx="2">
                  <c:v>0.0211</c:v>
                </c:pt>
                <c:pt idx="3">
                  <c:v>0.0211</c:v>
                </c:pt>
                <c:pt idx="4">
                  <c:v>0.0453</c:v>
                </c:pt>
                <c:pt idx="5">
                  <c:v>0.1148</c:v>
                </c:pt>
                <c:pt idx="6">
                  <c:v>0.1511</c:v>
                </c:pt>
                <c:pt idx="7">
                  <c:v>0.1662</c:v>
                </c:pt>
                <c:pt idx="8">
                  <c:v>0.2205</c:v>
                </c:pt>
                <c:pt idx="9">
                  <c:v>0.2205</c:v>
                </c:pt>
                <c:pt idx="10">
                  <c:v>0.2356</c:v>
                </c:pt>
                <c:pt idx="11">
                  <c:v>0.3625</c:v>
                </c:pt>
                <c:pt idx="12">
                  <c:v>0.3807</c:v>
                </c:pt>
                <c:pt idx="13">
                  <c:v>0.5408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外表形象</c:v>
                </c:pt>
                <c:pt idx="1">
                  <c:v>遭遇就业歧视</c:v>
                </c:pt>
                <c:pt idx="2">
                  <c:v>学校知名度</c:v>
                </c:pt>
                <c:pt idx="3">
                  <c:v>不知道什么工作适合自己</c:v>
                </c:pt>
                <c:pt idx="4">
                  <c:v>其他</c:v>
                </c:pt>
                <c:pt idx="5">
                  <c:v>学习成绩不佳</c:v>
                </c:pt>
                <c:pt idx="6">
                  <c:v>缺乏求职方法技巧</c:v>
                </c:pt>
                <c:pt idx="7">
                  <c:v>缺乏良好的人脉资源</c:v>
                </c:pt>
                <c:pt idx="8">
                  <c:v>专业知识与能力不足</c:v>
                </c:pt>
                <c:pt idx="9">
                  <c:v>适合自己的招聘职位太少</c:v>
                </c:pt>
                <c:pt idx="10">
                  <c:v>缺乏实践经验</c:v>
                </c:pt>
              </c:strCache>
            </c:strRef>
          </c:cat>
          <c:val>
            <c:numRef>
              <c:f>Sheet1!$B$2:$B$12</c:f>
              <c:numCache>
                <c:formatCode>0.00%</c:formatCode>
                <c:ptCount val="11"/>
                <c:pt idx="0">
                  <c:v>0.0211</c:v>
                </c:pt>
                <c:pt idx="1">
                  <c:v>0.0423</c:v>
                </c:pt>
                <c:pt idx="2">
                  <c:v>0.0604</c:v>
                </c:pt>
                <c:pt idx="3">
                  <c:v>0.1057</c:v>
                </c:pt>
                <c:pt idx="4">
                  <c:v>0.145</c:v>
                </c:pt>
                <c:pt idx="5">
                  <c:v>0.1631</c:v>
                </c:pt>
                <c:pt idx="6">
                  <c:v>0.1782</c:v>
                </c:pt>
                <c:pt idx="7">
                  <c:v>0.2236</c:v>
                </c:pt>
                <c:pt idx="8">
                  <c:v>0.3414</c:v>
                </c:pt>
                <c:pt idx="9">
                  <c:v>0.4109</c:v>
                </c:pt>
                <c:pt idx="10">
                  <c:v>0.5257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报纸、电视、电台等</c:v>
                </c:pt>
                <c:pt idx="1">
                  <c:v>校园双选会、宣讲会</c:v>
                </c:pt>
                <c:pt idx="2">
                  <c:v>校友推荐</c:v>
                </c:pt>
                <c:pt idx="3">
                  <c:v>人才市场</c:v>
                </c:pt>
                <c:pt idx="4">
                  <c:v>学校老师推荐</c:v>
                </c:pt>
                <c:pt idx="5">
                  <c:v>学校的就业推荐服务</c:v>
                </c:pt>
                <c:pt idx="6">
                  <c:v>社会化专业求职网站</c:v>
                </c:pt>
                <c:pt idx="7">
                  <c:v>亲友推荐</c:v>
                </c:pt>
                <c:pt idx="8">
                  <c:v>其他</c:v>
                </c:pt>
              </c:strCache>
            </c:strRef>
          </c:cat>
          <c:val>
            <c:numRef>
              <c:f>Sheet1!$B$2:$B$10</c:f>
              <c:numCache>
                <c:formatCode>0.00%</c:formatCode>
                <c:ptCount val="9"/>
                <c:pt idx="0">
                  <c:v>0.0113</c:v>
                </c:pt>
                <c:pt idx="1">
                  <c:v>0.0263</c:v>
                </c:pt>
                <c:pt idx="2">
                  <c:v>0.0263</c:v>
                </c:pt>
                <c:pt idx="3">
                  <c:v>0.0602</c:v>
                </c:pt>
                <c:pt idx="4">
                  <c:v>0.0714</c:v>
                </c:pt>
                <c:pt idx="5">
                  <c:v>0.1128</c:v>
                </c:pt>
                <c:pt idx="6">
                  <c:v>0.218</c:v>
                </c:pt>
                <c:pt idx="7">
                  <c:v>0.2368</c:v>
                </c:pt>
                <c:pt idx="8">
                  <c:v>0.2368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部队</c:v>
                </c:pt>
                <c:pt idx="1">
                  <c:v>港澳台及外资企业</c:v>
                </c:pt>
                <c:pt idx="2">
                  <c:v>政府机关</c:v>
                </c:pt>
                <c:pt idx="3">
                  <c:v>国有及集体企业</c:v>
                </c:pt>
                <c:pt idx="4">
                  <c:v>事业单位</c:v>
                </c:pt>
                <c:pt idx="5">
                  <c:v>民营企业</c:v>
                </c:pt>
                <c:pt idx="6">
                  <c:v>其他</c:v>
                </c:pt>
              </c:strCache>
            </c:strRef>
          </c:cat>
          <c:val>
            <c:numRef>
              <c:f>Sheet1!$B$2:$B$8</c:f>
              <c:numCache>
                <c:formatCode>0.00%</c:formatCode>
                <c:ptCount val="7"/>
                <c:pt idx="0">
                  <c:v>0.0038</c:v>
                </c:pt>
                <c:pt idx="1">
                  <c:v>0.0075</c:v>
                </c:pt>
                <c:pt idx="2">
                  <c:v>0.0489</c:v>
                </c:pt>
                <c:pt idx="3">
                  <c:v>0.0752</c:v>
                </c:pt>
                <c:pt idx="4">
                  <c:v>0.1692</c:v>
                </c:pt>
                <c:pt idx="5">
                  <c:v>0.2932</c:v>
                </c:pt>
                <c:pt idx="6">
                  <c:v>0.4023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珠三角经济圈（广东+香港+澳门）</c:v>
                </c:pt>
                <c:pt idx="1">
                  <c:v>环渤海经济圈（北京+天津+河北+山东）</c:v>
                </c:pt>
                <c:pt idx="2">
                  <c:v>长三角(除皖)经济圈（上海+江苏+浙江）</c:v>
                </c:pt>
                <c:pt idx="3">
                  <c:v>其他地区</c:v>
                </c:pt>
                <c:pt idx="4">
                  <c:v>安徽省内其他地市</c:v>
                </c:pt>
                <c:pt idx="5">
                  <c:v>合肥市</c:v>
                </c:pt>
              </c:strCache>
            </c:strRef>
          </c:cat>
          <c:val>
            <c:numRef>
              <c:f>Sheet1!$B$2:$B$7</c:f>
              <c:numCache>
                <c:formatCode>0.00%</c:formatCode>
                <c:ptCount val="6"/>
                <c:pt idx="0">
                  <c:v>0.0038</c:v>
                </c:pt>
                <c:pt idx="1">
                  <c:v>0.0075</c:v>
                </c:pt>
                <c:pt idx="2">
                  <c:v>0.0714</c:v>
                </c:pt>
                <c:pt idx="3">
                  <c:v>0.094</c:v>
                </c:pt>
                <c:pt idx="4">
                  <c:v>0.3233</c:v>
                </c:pt>
                <c:pt idx="5">
                  <c:v>0.5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既是母校所在地也是生源所在地</c:v>
                </c:pt>
                <c:pt idx="1">
                  <c:v>其他地区</c:v>
                </c:pt>
                <c:pt idx="2">
                  <c:v>生源所在地</c:v>
                </c:pt>
                <c:pt idx="3">
                  <c:v>母校所在地</c:v>
                </c:pt>
              </c:strCache>
            </c:strRef>
          </c:cat>
          <c:val>
            <c:numRef>
              <c:f>Sheet1!$B$2:$B$5</c:f>
              <c:numCache>
                <c:formatCode>0.00%</c:formatCode>
                <c:ptCount val="4"/>
                <c:pt idx="0">
                  <c:v>0.0977</c:v>
                </c:pt>
                <c:pt idx="1">
                  <c:v>0.2331</c:v>
                </c:pt>
                <c:pt idx="2">
                  <c:v>0.312</c:v>
                </c:pt>
                <c:pt idx="3">
                  <c:v>0.3571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12000-14999元</c:v>
                </c:pt>
                <c:pt idx="1">
                  <c:v>10000-11999元</c:v>
                </c:pt>
                <c:pt idx="2">
                  <c:v>15000-19999元</c:v>
                </c:pt>
                <c:pt idx="3">
                  <c:v>20000元及以上</c:v>
                </c:pt>
                <c:pt idx="4">
                  <c:v>8000-9999元</c:v>
                </c:pt>
                <c:pt idx="5">
                  <c:v>6000-7999元</c:v>
                </c:pt>
                <c:pt idx="6">
                  <c:v>2000元以下</c:v>
                </c:pt>
                <c:pt idx="7">
                  <c:v>4000-5999元</c:v>
                </c:pt>
                <c:pt idx="8">
                  <c:v>2000-3999元</c:v>
                </c:pt>
              </c:strCache>
            </c:strRef>
          </c:cat>
          <c:val>
            <c:numRef>
              <c:f>Sheet1!$B$2:$B$10</c:f>
              <c:numCache>
                <c:formatCode>0.00%</c:formatCode>
                <c:ptCount val="9"/>
                <c:pt idx="0">
                  <c:v>0</c:v>
                </c:pt>
                <c:pt idx="1">
                  <c:v>0.0038</c:v>
                </c:pt>
                <c:pt idx="2">
                  <c:v>0.0038</c:v>
                </c:pt>
                <c:pt idx="3">
                  <c:v>0.0075</c:v>
                </c:pt>
                <c:pt idx="4">
                  <c:v>0.0376</c:v>
                </c:pt>
                <c:pt idx="5">
                  <c:v>0.0902</c:v>
                </c:pt>
                <c:pt idx="6">
                  <c:v>0.109</c:v>
                </c:pt>
                <c:pt idx="7">
                  <c:v>0.3684</c:v>
                </c:pt>
                <c:pt idx="8">
                  <c:v>0.3797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毕业去向落实率</c:v>
                </c:pt>
                <c:pt idx="1">
                  <c:v>签订协议和劳动合同就业率</c:v>
                </c:pt>
                <c:pt idx="2">
                  <c:v>灵活就业率</c:v>
                </c:pt>
                <c:pt idx="3">
                  <c:v>创业率</c:v>
                </c:pt>
                <c:pt idx="4">
                  <c:v>升学率(含出国留学)</c:v>
                </c:pt>
                <c:pt idx="5">
                  <c:v>暂不就业率</c:v>
                </c:pt>
                <c:pt idx="6">
                  <c:v>待就业率</c:v>
                </c:pt>
              </c:strCache>
            </c:strRef>
          </c:cat>
          <c:val>
            <c:numRef>
              <c:f>Sheet1!$B$2:$B$8</c:f>
              <c:numCache>
                <c:formatCode>0.00%</c:formatCode>
                <c:ptCount val="7"/>
                <c:pt idx="0">
                  <c:v>1</c:v>
                </c:pt>
                <c:pt idx="1">
                  <c:v>0</c:v>
                </c:pt>
                <c:pt idx="2">
                  <c:v>0</c:v>
                </c:pt>
                <c:pt idx="3">
                  <c:v>0</c:v>
                </c:pt>
                <c:pt idx="4">
                  <c:v>1</c:v>
                </c:pt>
                <c:pt idx="5">
                  <c:v>0</c:v>
                </c:pt>
                <c:pt idx="6">
                  <c:v>0</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无毕业实习单位</c:v>
                </c:pt>
                <c:pt idx="1">
                  <c:v>否</c:v>
                </c:pt>
                <c:pt idx="2">
                  <c:v>是</c:v>
                </c:pt>
              </c:strCache>
            </c:strRef>
          </c:cat>
          <c:val>
            <c:numRef>
              <c:f>Sheet1!$B$2:$B$4</c:f>
              <c:numCache>
                <c:formatCode>0.00%</c:formatCode>
                <c:ptCount val="3"/>
                <c:pt idx="0">
                  <c:v>0.094</c:v>
                </c:pt>
                <c:pt idx="1">
                  <c:v>0.2293</c:v>
                </c:pt>
                <c:pt idx="2">
                  <c:v>0.6767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缺少直接主管的指导和关怀</c:v>
                </c:pt>
                <c:pt idx="1">
                  <c:v>缺乏职业安全感</c:v>
                </c:pt>
                <c:pt idx="2">
                  <c:v>工作要求高，压力大</c:v>
                </c:pt>
                <c:pt idx="3">
                  <c:v>对单位管理制度和文化不适应</c:v>
                </c:pt>
                <c:pt idx="4">
                  <c:v>个人发展空间不够</c:v>
                </c:pt>
                <c:pt idx="5">
                  <c:v>薪资福利偏低</c:v>
                </c:pt>
                <c:pt idx="6">
                  <c:v>想改变职业或行业</c:v>
                </c:pt>
              </c:strCache>
            </c:strRef>
          </c:cat>
          <c:val>
            <c:numRef>
              <c:f>Sheet1!$B$2:$B$8</c:f>
              <c:numCache>
                <c:formatCode>0.00%</c:formatCode>
                <c:ptCount val="7"/>
                <c:pt idx="0">
                  <c:v>0.0635</c:v>
                </c:pt>
                <c:pt idx="1">
                  <c:v>0.0794</c:v>
                </c:pt>
                <c:pt idx="2">
                  <c:v>0.1746</c:v>
                </c:pt>
                <c:pt idx="3">
                  <c:v>0.1905</c:v>
                </c:pt>
                <c:pt idx="4">
                  <c:v>0.381</c:v>
                </c:pt>
                <c:pt idx="5">
                  <c:v>0.381</c:v>
                </c:pt>
                <c:pt idx="6">
                  <c:v>0.4762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不相关</c:v>
                </c:pt>
                <c:pt idx="1">
                  <c:v>相关</c:v>
                </c:pt>
              </c:strCache>
            </c:strRef>
          </c:cat>
          <c:val>
            <c:numRef>
              <c:f>Sheet1!$B$2:$B$3</c:f>
              <c:numCache>
                <c:formatCode>0.00%</c:formatCode>
                <c:ptCount val="2"/>
                <c:pt idx="0">
                  <c:v>0.4474</c:v>
                </c:pt>
                <c:pt idx="1">
                  <c:v>0.5526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家庭原因</c:v>
                </c:pt>
                <c:pt idx="1">
                  <c:v>工作环境更好</c:v>
                </c:pt>
                <c:pt idx="2">
                  <c:v>收入更高</c:v>
                </c:pt>
                <c:pt idx="3">
                  <c:v>其他</c:v>
                </c:pt>
                <c:pt idx="4">
                  <c:v>更符合我的兴趣爱好</c:v>
                </c:pt>
                <c:pt idx="5">
                  <c:v>与专业相关的工作很难找</c:v>
                </c:pt>
              </c:strCache>
            </c:strRef>
          </c:cat>
          <c:val>
            <c:numRef>
              <c:f>Sheet1!$B$2:$B$7</c:f>
              <c:numCache>
                <c:formatCode>0.00%</c:formatCode>
                <c:ptCount val="6"/>
                <c:pt idx="0">
                  <c:v>0.0504</c:v>
                </c:pt>
                <c:pt idx="1">
                  <c:v>0.0588</c:v>
                </c:pt>
                <c:pt idx="2">
                  <c:v>0.1849</c:v>
                </c:pt>
                <c:pt idx="3">
                  <c:v>0.1849</c:v>
                </c:pt>
                <c:pt idx="4">
                  <c:v>0.1933</c:v>
                </c:pt>
                <c:pt idx="5">
                  <c:v>0.3277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不适应</c:v>
                </c:pt>
                <c:pt idx="1">
                  <c:v>适应</c:v>
                </c:pt>
              </c:strCache>
            </c:strRef>
          </c:cat>
          <c:val>
            <c:numRef>
              <c:f>Sheet1!$B$2:$B$3</c:f>
              <c:numCache>
                <c:formatCode>0.00%</c:formatCode>
                <c:ptCount val="2"/>
                <c:pt idx="0">
                  <c:v>0.0414</c:v>
                </c:pt>
                <c:pt idx="1">
                  <c:v>0.9586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dPt>
          <c:dPt>
            <c:idx val="6"/>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学习能力不能满足工作要求</c:v>
                </c:pt>
                <c:pt idx="1">
                  <c:v>要求较强的文字和语言表达能力</c:v>
                </c:pt>
                <c:pt idx="2">
                  <c:v>要求较强的计算机和外语能力</c:v>
                </c:pt>
                <c:pt idx="3">
                  <c:v>工作要求高，压力大</c:v>
                </c:pt>
                <c:pt idx="4">
                  <c:v>人际关系处理不好</c:v>
                </c:pt>
                <c:pt idx="5">
                  <c:v>学校所学知识不能满足工作需求</c:v>
                </c:pt>
                <c:pt idx="6">
                  <c:v>较强的专业技术要求</c:v>
                </c:pt>
              </c:strCache>
            </c:strRef>
          </c:cat>
          <c:val>
            <c:numRef>
              <c:f>Sheet1!$B$2:$B$8</c:f>
              <c:numCache>
                <c:formatCode>0.00%</c:formatCode>
                <c:ptCount val="7"/>
                <c:pt idx="0">
                  <c:v>0</c:v>
                </c:pt>
                <c:pt idx="1">
                  <c:v>0</c:v>
                </c:pt>
                <c:pt idx="2">
                  <c:v>0.0909</c:v>
                </c:pt>
                <c:pt idx="3">
                  <c:v>0.1818</c:v>
                </c:pt>
                <c:pt idx="4">
                  <c:v>0.1818</c:v>
                </c:pt>
                <c:pt idx="5">
                  <c:v>0.2727</c:v>
                </c:pt>
                <c:pt idx="6">
                  <c:v>0.2727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4个</c:v>
                </c:pt>
                <c:pt idx="1">
                  <c:v>3个</c:v>
                </c:pt>
                <c:pt idx="2">
                  <c:v>2个</c:v>
                </c:pt>
                <c:pt idx="3">
                  <c:v>1个</c:v>
                </c:pt>
              </c:strCache>
            </c:strRef>
          </c:cat>
          <c:val>
            <c:numRef>
              <c:f>Sheet1!$B$2:$B$5</c:f>
              <c:numCache>
                <c:formatCode>0.00%</c:formatCode>
                <c:ptCount val="4"/>
                <c:pt idx="0">
                  <c:v>0.0414</c:v>
                </c:pt>
                <c:pt idx="1">
                  <c:v>0.1015</c:v>
                </c:pt>
                <c:pt idx="2">
                  <c:v>0.3459</c:v>
                </c:pt>
                <c:pt idx="3">
                  <c:v>0.5113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半年以上</c:v>
                </c:pt>
                <c:pt idx="1">
                  <c:v>3-6个月</c:v>
                </c:pt>
                <c:pt idx="2">
                  <c:v>2-3个月</c:v>
                </c:pt>
                <c:pt idx="3">
                  <c:v>1-2个月</c:v>
                </c:pt>
                <c:pt idx="4">
                  <c:v>1个月以内</c:v>
                </c:pt>
              </c:strCache>
            </c:strRef>
          </c:cat>
          <c:val>
            <c:numRef>
              <c:f>Sheet1!$B$2:$B$6</c:f>
              <c:numCache>
                <c:formatCode>0.00%</c:formatCode>
                <c:ptCount val="5"/>
                <c:pt idx="0">
                  <c:v>0.0301</c:v>
                </c:pt>
                <c:pt idx="1">
                  <c:v>0.0414</c:v>
                </c:pt>
                <c:pt idx="2">
                  <c:v>0.0902</c:v>
                </c:pt>
                <c:pt idx="3">
                  <c:v>0.1353</c:v>
                </c:pt>
                <c:pt idx="4">
                  <c:v>0.703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很不满意</c:v>
                </c:pt>
                <c:pt idx="1">
                  <c:v>不满意</c:v>
                </c:pt>
                <c:pt idx="2">
                  <c:v>非常满意</c:v>
                </c:pt>
                <c:pt idx="3">
                  <c:v>满意</c:v>
                </c:pt>
              </c:strCache>
            </c:strRef>
          </c:cat>
          <c:val>
            <c:numRef>
              <c:f>Sheet1!$B$2:$B$5</c:f>
              <c:numCache>
                <c:formatCode>0.00%</c:formatCode>
                <c:ptCount val="4"/>
                <c:pt idx="0">
                  <c:v>0.0038</c:v>
                </c:pt>
                <c:pt idx="1">
                  <c:v>0.0789</c:v>
                </c:pt>
                <c:pt idx="2">
                  <c:v>0.2669</c:v>
                </c:pt>
                <c:pt idx="3">
                  <c:v>0.6504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不符合自身兴趣爱好</c:v>
                </c:pt>
                <c:pt idx="1">
                  <c:v>工作环境较差</c:v>
                </c:pt>
                <c:pt idx="2">
                  <c:v>与所学专业相关度不高</c:v>
                </c:pt>
                <c:pt idx="3">
                  <c:v>工作压力较大</c:v>
                </c:pt>
                <c:pt idx="4">
                  <c:v>单位发展前景不好</c:v>
                </c:pt>
                <c:pt idx="5">
                  <c:v>人际关系复杂难处理</c:v>
                </c:pt>
                <c:pt idx="6">
                  <c:v>个人发展空间小</c:v>
                </c:pt>
                <c:pt idx="7">
                  <c:v>收入低</c:v>
                </c:pt>
              </c:strCache>
            </c:strRef>
          </c:cat>
          <c:val>
            <c:numRef>
              <c:f>Sheet1!$B$2:$B$9</c:f>
              <c:numCache>
                <c:formatCode>0.00%</c:formatCode>
                <c:ptCount val="8"/>
                <c:pt idx="0">
                  <c:v>0.0435</c:v>
                </c:pt>
                <c:pt idx="1">
                  <c:v>0.1304</c:v>
                </c:pt>
                <c:pt idx="2">
                  <c:v>0.2174</c:v>
                </c:pt>
                <c:pt idx="3">
                  <c:v>0.3043</c:v>
                </c:pt>
                <c:pt idx="4">
                  <c:v>0.3043</c:v>
                </c:pt>
                <c:pt idx="5">
                  <c:v>0.3478</c:v>
                </c:pt>
                <c:pt idx="6">
                  <c:v>0.3478</c:v>
                </c:pt>
                <c:pt idx="7">
                  <c:v>0.6522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毕业去向落实率</c:v>
                </c:pt>
                <c:pt idx="1">
                  <c:v>签订协议和劳动合同就业率</c:v>
                </c:pt>
                <c:pt idx="2">
                  <c:v>灵活就业率</c:v>
                </c:pt>
                <c:pt idx="3">
                  <c:v>创业率</c:v>
                </c:pt>
                <c:pt idx="4">
                  <c:v>升学率(含出国留学)</c:v>
                </c:pt>
                <c:pt idx="5">
                  <c:v>暂不就业率</c:v>
                </c:pt>
                <c:pt idx="6">
                  <c:v>待就业率</c:v>
                </c:pt>
              </c:strCache>
            </c:strRef>
          </c:cat>
          <c:val>
            <c:numRef>
              <c:f>Sheet1!$B$2:$B$8</c:f>
              <c:numCache>
                <c:formatCode>0.00%</c:formatCode>
                <c:ptCount val="7"/>
                <c:pt idx="0">
                  <c:v>0.8947</c:v>
                </c:pt>
                <c:pt idx="1">
                  <c:v>0.5789</c:v>
                </c:pt>
                <c:pt idx="2">
                  <c:v>0</c:v>
                </c:pt>
                <c:pt idx="3">
                  <c:v>0</c:v>
                </c:pt>
                <c:pt idx="4">
                  <c:v>0.3158</c:v>
                </c:pt>
                <c:pt idx="5">
                  <c:v>0</c:v>
                </c:pt>
                <c:pt idx="6">
                  <c:v>0.1053</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财务管理</c:v>
                </c:pt>
                <c:pt idx="1">
                  <c:v>理解性阅读</c:v>
                </c:pt>
                <c:pt idx="2">
                  <c:v>绩效监督</c:v>
                </c:pt>
                <c:pt idx="3">
                  <c:v>指导他人</c:v>
                </c:pt>
                <c:pt idx="4">
                  <c:v>人力资源管理</c:v>
                </c:pt>
                <c:pt idx="5">
                  <c:v>理解他人</c:v>
                </c:pt>
                <c:pt idx="6">
                  <c:v>服务他人</c:v>
                </c:pt>
                <c:pt idx="7">
                  <c:v>协调安排</c:v>
                </c:pt>
                <c:pt idx="8">
                  <c:v>积极聆听说服他人疑难排解</c:v>
                </c:pt>
                <c:pt idx="9">
                  <c:v>谈判技能</c:v>
                </c:pt>
                <c:pt idx="10">
                  <c:v>判断和决策</c:v>
                </c:pt>
                <c:pt idx="11">
                  <c:v>时间管理</c:v>
                </c:pt>
                <c:pt idx="12">
                  <c:v>技术设计</c:v>
                </c:pt>
                <c:pt idx="13">
                  <c:v>学习方法</c:v>
                </c:pt>
                <c:pt idx="14">
                  <c:v>解决复杂的问题</c:v>
                </c:pt>
                <c:pt idx="15">
                  <c:v>逻辑思维</c:v>
                </c:pt>
                <c:pt idx="16">
                  <c:v>积极学习</c:v>
                </c:pt>
                <c:pt idx="17">
                  <c:v>有效的口头沟通</c:v>
                </c:pt>
              </c:strCache>
            </c:strRef>
          </c:cat>
          <c:val>
            <c:numRef>
              <c:f>Sheet1!$B$2:$B$19</c:f>
              <c:numCache>
                <c:formatCode>0.00%</c:formatCode>
                <c:ptCount val="18"/>
                <c:pt idx="0">
                  <c:v>0.015</c:v>
                </c:pt>
                <c:pt idx="1">
                  <c:v>0.015</c:v>
                </c:pt>
                <c:pt idx="2">
                  <c:v>0.0226</c:v>
                </c:pt>
                <c:pt idx="3">
                  <c:v>0.0226</c:v>
                </c:pt>
                <c:pt idx="4">
                  <c:v>0.0263</c:v>
                </c:pt>
                <c:pt idx="5">
                  <c:v>0.0301</c:v>
                </c:pt>
                <c:pt idx="6">
                  <c:v>0.0414</c:v>
                </c:pt>
                <c:pt idx="7">
                  <c:v>0.0451</c:v>
                </c:pt>
                <c:pt idx="8">
                  <c:v>0.0602</c:v>
                </c:pt>
                <c:pt idx="9">
                  <c:v>0.0677</c:v>
                </c:pt>
                <c:pt idx="10">
                  <c:v>0.0714</c:v>
                </c:pt>
                <c:pt idx="11">
                  <c:v>0.1128</c:v>
                </c:pt>
                <c:pt idx="12">
                  <c:v>0.1241</c:v>
                </c:pt>
                <c:pt idx="13">
                  <c:v>0.1466</c:v>
                </c:pt>
                <c:pt idx="14">
                  <c:v>0.1842</c:v>
                </c:pt>
                <c:pt idx="15">
                  <c:v>0.4248</c:v>
                </c:pt>
                <c:pt idx="16">
                  <c:v>0.594</c:v>
                </c:pt>
                <c:pt idx="17">
                  <c:v>0.6391</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周边同学都在考</c:v>
                </c:pt>
                <c:pt idx="1">
                  <c:v>换一个专业学习</c:v>
                </c:pt>
                <c:pt idx="2">
                  <c:v>留恋校园生活暂时还不想就业</c:v>
                </c:pt>
                <c:pt idx="3">
                  <c:v>家人的期望或要求</c:v>
                </c:pt>
                <c:pt idx="4">
                  <c:v>改变最后学历所在的学校</c:v>
                </c:pt>
                <c:pt idx="5">
                  <c:v>工作不好找直接就业难</c:v>
                </c:pt>
                <c:pt idx="6">
                  <c:v>谋求更好的职业发展前景</c:v>
                </c:pt>
                <c:pt idx="7">
                  <c:v>对自己现有的学历层次不满足</c:v>
                </c:pt>
              </c:strCache>
            </c:strRef>
          </c:cat>
          <c:val>
            <c:numRef>
              <c:f>Sheet1!$B$2:$B$9</c:f>
              <c:numCache>
                <c:formatCode>0.00%</c:formatCode>
                <c:ptCount val="8"/>
                <c:pt idx="0">
                  <c:v>0.005</c:v>
                </c:pt>
                <c:pt idx="1">
                  <c:v>0.0224</c:v>
                </c:pt>
                <c:pt idx="2">
                  <c:v>0.0224</c:v>
                </c:pt>
                <c:pt idx="3">
                  <c:v>0.0224</c:v>
                </c:pt>
                <c:pt idx="4">
                  <c:v>0.0424</c:v>
                </c:pt>
                <c:pt idx="5">
                  <c:v>0.0623</c:v>
                </c:pt>
                <c:pt idx="6">
                  <c:v>0.182</c:v>
                </c:pt>
                <c:pt idx="7">
                  <c:v>0.6409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pieChart>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不相关</c:v>
                </c:pt>
                <c:pt idx="1">
                  <c:v>相关性不大</c:v>
                </c:pt>
                <c:pt idx="2">
                  <c:v>相关</c:v>
                </c:pt>
                <c:pt idx="3">
                  <c:v>一致</c:v>
                </c:pt>
              </c:strCache>
            </c:strRef>
          </c:cat>
          <c:val>
            <c:numRef>
              <c:f>Sheet1!$B$2:$B$5</c:f>
              <c:numCache>
                <c:formatCode>0.00%</c:formatCode>
                <c:ptCount val="4"/>
                <c:pt idx="0">
                  <c:v>0.0673</c:v>
                </c:pt>
                <c:pt idx="1">
                  <c:v>0.1322</c:v>
                </c:pt>
                <c:pt idx="2">
                  <c:v>0.3392</c:v>
                </c:pt>
                <c:pt idx="3">
                  <c:v>0.4613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学习难度低</c:v>
                </c:pt>
                <c:pt idx="1">
                  <c:v>志愿外被调剂</c:v>
                </c:pt>
                <c:pt idx="2">
                  <c:v>父母要求</c:v>
                </c:pt>
                <c:pt idx="3">
                  <c:v>是该校的特色（优势）学科</c:v>
                </c:pt>
                <c:pt idx="4">
                  <c:v>原所学专业继续深造</c:v>
                </c:pt>
                <c:pt idx="5">
                  <c:v>考取希望大</c:v>
                </c:pt>
                <c:pt idx="6">
                  <c:v>就业前景好</c:v>
                </c:pt>
                <c:pt idx="7">
                  <c:v>个人兴趣</c:v>
                </c:pt>
              </c:strCache>
            </c:strRef>
          </c:cat>
          <c:val>
            <c:numRef>
              <c:f>Sheet1!$B$2:$B$9</c:f>
              <c:numCache>
                <c:formatCode>0.00%</c:formatCode>
                <c:ptCount val="8"/>
                <c:pt idx="0">
                  <c:v>0</c:v>
                </c:pt>
                <c:pt idx="1">
                  <c:v>0</c:v>
                </c:pt>
                <c:pt idx="2">
                  <c:v>0.0606</c:v>
                </c:pt>
                <c:pt idx="3">
                  <c:v>0.0909</c:v>
                </c:pt>
                <c:pt idx="4">
                  <c:v>0.1515</c:v>
                </c:pt>
                <c:pt idx="5">
                  <c:v>0.1515</c:v>
                </c:pt>
                <c:pt idx="6">
                  <c:v>0.2424</c:v>
                </c:pt>
                <c:pt idx="7">
                  <c:v>0.303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志愿外被调剂</c:v>
                </c:pt>
                <c:pt idx="1">
                  <c:v>学费低</c:v>
                </c:pt>
                <c:pt idx="2">
                  <c:v>社会声誉好</c:v>
                </c:pt>
                <c:pt idx="3">
                  <c:v>地理位置合适</c:v>
                </c:pt>
                <c:pt idx="4">
                  <c:v>老师或朋友推荐</c:v>
                </c:pt>
                <c:pt idx="5">
                  <c:v>考取希望大</c:v>
                </c:pt>
                <c:pt idx="6">
                  <c:v>就业前景好</c:v>
                </c:pt>
              </c:strCache>
            </c:strRef>
          </c:cat>
          <c:val>
            <c:numRef>
              <c:f>Sheet1!$B$2:$B$8</c:f>
              <c:numCache>
                <c:formatCode>0.00%</c:formatCode>
                <c:ptCount val="7"/>
                <c:pt idx="0">
                  <c:v>0.0424</c:v>
                </c:pt>
                <c:pt idx="1">
                  <c:v>0.1072</c:v>
                </c:pt>
                <c:pt idx="2">
                  <c:v>0.2868</c:v>
                </c:pt>
                <c:pt idx="3">
                  <c:v>0.3491</c:v>
                </c:pt>
                <c:pt idx="4">
                  <c:v>0.3516</c:v>
                </c:pt>
                <c:pt idx="5">
                  <c:v>0.3766</c:v>
                </c:pt>
                <c:pt idx="6">
                  <c:v>0.4264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暂时没有找到满意工作</c:v>
                </c:pt>
                <c:pt idx="1">
                  <c:v>所学专业适合自由职业</c:v>
                </c:pt>
                <c:pt idx="2">
                  <c:v>喜欢自由的生活方式</c:v>
                </c:pt>
              </c:strCache>
            </c:strRef>
          </c:cat>
          <c:val>
            <c:numRef>
              <c:f>Sheet1!$B$2:$B$4</c:f>
              <c:numCache>
                <c:formatCode>0.00%</c:formatCode>
                <c:ptCount val="3"/>
                <c:pt idx="0">
                  <c:v>0.3529</c:v>
                </c:pt>
                <c:pt idx="1">
                  <c:v>0.4118</c:v>
                </c:pt>
                <c:pt idx="2">
                  <c:v>0.4118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981378026071"/>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12000-14999元</c:v>
                </c:pt>
                <c:pt idx="1">
                  <c:v>15000-19999元</c:v>
                </c:pt>
                <c:pt idx="2">
                  <c:v>20000元及以上</c:v>
                </c:pt>
                <c:pt idx="3">
                  <c:v>2000元以下</c:v>
                </c:pt>
                <c:pt idx="4">
                  <c:v>10000-11999元</c:v>
                </c:pt>
                <c:pt idx="5">
                  <c:v>8000-9999元</c:v>
                </c:pt>
                <c:pt idx="6">
                  <c:v>6000-7999元</c:v>
                </c:pt>
                <c:pt idx="7">
                  <c:v>4000-5999元</c:v>
                </c:pt>
                <c:pt idx="8">
                  <c:v>2000-3999元</c:v>
                </c:pt>
              </c:strCache>
            </c:strRef>
          </c:cat>
          <c:val>
            <c:numRef>
              <c:f>Sheet1!$B$2:$B$10</c:f>
              <c:numCache>
                <c:formatCode>0.00%</c:formatCode>
                <c:ptCount val="9"/>
                <c:pt idx="0">
                  <c:v>0</c:v>
                </c:pt>
                <c:pt idx="1">
                  <c:v>0</c:v>
                </c:pt>
                <c:pt idx="2">
                  <c:v>0</c:v>
                </c:pt>
                <c:pt idx="3">
                  <c:v>0.0294</c:v>
                </c:pt>
                <c:pt idx="4">
                  <c:v>0.0294</c:v>
                </c:pt>
                <c:pt idx="5">
                  <c:v>0.0588</c:v>
                </c:pt>
                <c:pt idx="6">
                  <c:v>0.1471</c:v>
                </c:pt>
                <c:pt idx="7">
                  <c:v>0.2941</c:v>
                </c:pt>
                <c:pt idx="8">
                  <c:v>0.4412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学习成绩不理想</c:v>
                </c:pt>
                <c:pt idx="1">
                  <c:v>要考公务员或事业单位等但没考上</c:v>
                </c:pt>
                <c:pt idx="2">
                  <c:v>暂无就业需求</c:v>
                </c:pt>
                <c:pt idx="3">
                  <c:v>毕业学校在业界的知名度低</c:v>
                </c:pt>
                <c:pt idx="4">
                  <c:v>就业意向不明确求职迷茫</c:v>
                </c:pt>
                <c:pt idx="5">
                  <c:v>求职就业的相关技能比较弱</c:v>
                </c:pt>
                <c:pt idx="6">
                  <c:v>能够获取的就业岗位信息太少</c:v>
                </c:pt>
                <c:pt idx="7">
                  <c:v>找工作的时间晚了</c:v>
                </c:pt>
                <c:pt idx="8">
                  <c:v>求职竞争激烈</c:v>
                </c:pt>
                <c:pt idx="9">
                  <c:v>所学专业就业面窄</c:v>
                </c:pt>
                <c:pt idx="10">
                  <c:v>实习实践经验缺乏</c:v>
                </c:pt>
                <c:pt idx="11">
                  <c:v>找到的工作不满意</c:v>
                </c:pt>
                <c:pt idx="12">
                  <c:v>学历不够</c:v>
                </c:pt>
              </c:strCache>
            </c:strRef>
          </c:cat>
          <c:val>
            <c:numRef>
              <c:f>Sheet1!$B$2:$B$14</c:f>
              <c:numCache>
                <c:formatCode>0.00%</c:formatCode>
                <c:ptCount val="13"/>
                <c:pt idx="0">
                  <c:v>0</c:v>
                </c:pt>
                <c:pt idx="1">
                  <c:v>0</c:v>
                </c:pt>
                <c:pt idx="2">
                  <c:v>0.0154</c:v>
                </c:pt>
                <c:pt idx="3">
                  <c:v>0.0615</c:v>
                </c:pt>
                <c:pt idx="4">
                  <c:v>0.1385</c:v>
                </c:pt>
                <c:pt idx="5">
                  <c:v>0.1846</c:v>
                </c:pt>
                <c:pt idx="6">
                  <c:v>0.1846</c:v>
                </c:pt>
                <c:pt idx="7">
                  <c:v>0.2</c:v>
                </c:pt>
                <c:pt idx="8">
                  <c:v>0.2462</c:v>
                </c:pt>
                <c:pt idx="9">
                  <c:v>0.3385</c:v>
                </c:pt>
                <c:pt idx="10">
                  <c:v>0.3692</c:v>
                </c:pt>
                <c:pt idx="11">
                  <c:v>0.4154</c:v>
                </c:pt>
                <c:pt idx="12">
                  <c:v>0.4154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准备应征入伍</c:v>
                </c:pt>
                <c:pt idx="1">
                  <c:v>准备考公务员事业单位</c:v>
                </c:pt>
                <c:pt idx="2">
                  <c:v>准备留学</c:v>
                </c:pt>
                <c:pt idx="3">
                  <c:v>准备出国/出境工作</c:v>
                </c:pt>
                <c:pt idx="4">
                  <c:v>正在签约办理中</c:v>
                </c:pt>
                <c:pt idx="5">
                  <c:v>不想就业</c:v>
                </c:pt>
                <c:pt idx="6">
                  <c:v>准备创业</c:v>
                </c:pt>
                <c:pt idx="7">
                  <c:v>准备内地升学</c:v>
                </c:pt>
                <c:pt idx="8">
                  <c:v>其他</c:v>
                </c:pt>
              </c:strCache>
            </c:strRef>
          </c:cat>
          <c:val>
            <c:numRef>
              <c:f>Sheet1!$B$2:$B$10</c:f>
              <c:numCache>
                <c:formatCode>0.00%</c:formatCode>
                <c:ptCount val="9"/>
                <c:pt idx="0">
                  <c:v>0</c:v>
                </c:pt>
                <c:pt idx="1">
                  <c:v>0</c:v>
                </c:pt>
                <c:pt idx="2">
                  <c:v>0</c:v>
                </c:pt>
                <c:pt idx="3">
                  <c:v>0</c:v>
                </c:pt>
                <c:pt idx="4">
                  <c:v>0.0714</c:v>
                </c:pt>
                <c:pt idx="5">
                  <c:v>0.1071</c:v>
                </c:pt>
                <c:pt idx="6">
                  <c:v>0.1786</c:v>
                </c:pt>
                <c:pt idx="7">
                  <c:v>0.1786</c:v>
                </c:pt>
                <c:pt idx="8">
                  <c:v>0.4643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0.4034</c:v>
                </c:pt>
                <c:pt idx="1">
                  <c:v>0.3447</c:v>
                </c:pt>
                <c:pt idx="2">
                  <c:v>0.2029</c:v>
                </c:pt>
                <c:pt idx="3">
                  <c:v>0.0367</c:v>
                </c:pt>
                <c:pt idx="4">
                  <c:v>0.0122</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35836810385"/>
          <c:y val="0.109932000824232"/>
          <c:w val="0.833364242358785"/>
          <c:h val="0.559427158458685"/>
        </c:manualLayout>
      </c:layout>
      <c:barChart>
        <c:barDir val="col"/>
        <c:grouping val="clustered"/>
        <c:varyColors val="0"/>
        <c:ser>
          <c:idx val="0"/>
          <c:order val="0"/>
          <c:tx>
            <c:strRef>
              <c:f>Sheet1!$B$1</c:f>
              <c:strCache>
                <c:ptCount val="1"/>
                <c:pt idx="0">
                  <c:v>占比</c:v>
                </c:pt>
              </c:strCache>
            </c:strRef>
          </c:tx>
          <c:spPr>
            <a:solidFill>
              <a:srgbClr val="1F497D">
                <a:lumMod val="60000"/>
                <a:lumOff val="40000"/>
              </a:srgbClr>
            </a:solidFill>
            <a:ln>
              <a:noFill/>
            </a:ln>
            <a:effectLst/>
          </c:spPr>
          <c:invertIfNegative val="0"/>
          <c:dPt>
            <c:idx val="2"/>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毕业去向落实率</c:v>
                </c:pt>
                <c:pt idx="1">
                  <c:v>签订协议和劳动合同就业率</c:v>
                </c:pt>
                <c:pt idx="2">
                  <c:v>灵活就业率</c:v>
                </c:pt>
                <c:pt idx="3">
                  <c:v>创业率</c:v>
                </c:pt>
                <c:pt idx="4">
                  <c:v>升学率(含出国留学)</c:v>
                </c:pt>
                <c:pt idx="5">
                  <c:v>暂不就业率</c:v>
                </c:pt>
                <c:pt idx="6">
                  <c:v>待就业率</c:v>
                </c:pt>
              </c:strCache>
            </c:strRef>
          </c:cat>
          <c:val>
            <c:numRef>
              <c:f>Sheet1!$B$2:$B$8</c:f>
              <c:numCache>
                <c:formatCode>0.00%</c:formatCode>
                <c:ptCount val="7"/>
                <c:pt idx="0">
                  <c:v>0.9811</c:v>
                </c:pt>
                <c:pt idx="1">
                  <c:v>0.5377</c:v>
                </c:pt>
                <c:pt idx="2">
                  <c:v>0.0472</c:v>
                </c:pt>
                <c:pt idx="3">
                  <c:v>0.0094</c:v>
                </c:pt>
                <c:pt idx="4">
                  <c:v>0.3868</c:v>
                </c:pt>
                <c:pt idx="5">
                  <c:v>0.0189</c:v>
                </c:pt>
                <c:pt idx="6">
                  <c:v>0</c:v>
                </c:pt>
              </c:numCache>
            </c:numRef>
          </c:val>
        </c:ser>
        <c:dLbls>
          <c:showLegendKey val="0"/>
          <c:showVal val="0"/>
          <c:showCatName val="0"/>
          <c:showSerName val="0"/>
          <c:showPercent val="0"/>
          <c:showBubbleSize val="0"/>
        </c:dLbls>
        <c:gapWidth val="100"/>
        <c:overlap val="-27"/>
        <c:axId val="605737016"/>
        <c:axId val="648436391"/>
      </c:barChart>
      <c:catAx>
        <c:axId val="6057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eaVert"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8436391"/>
        <c:crosses val="autoZero"/>
        <c:auto val="1"/>
        <c:lblAlgn val="ctr"/>
        <c:lblOffset val="100"/>
        <c:noMultiLvlLbl val="0"/>
      </c:catAx>
      <c:valAx>
        <c:axId val="648436391"/>
        <c:scaling>
          <c:orientation val="minMax"/>
          <c:max val="1"/>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5737016"/>
        <c:crosses val="autoZero"/>
        <c:crossBetween val="between"/>
        <c:majorUnit val="0.2"/>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0.3924</c:v>
                </c:pt>
                <c:pt idx="1">
                  <c:v>0.3301</c:v>
                </c:pt>
                <c:pt idx="2">
                  <c:v>0.2531</c:v>
                </c:pt>
                <c:pt idx="3">
                  <c:v>0.022</c:v>
                </c:pt>
                <c:pt idx="4">
                  <c:v>0.0024</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0.3826</c:v>
                </c:pt>
                <c:pt idx="1">
                  <c:v>0.3374</c:v>
                </c:pt>
                <c:pt idx="2">
                  <c:v>0.2445</c:v>
                </c:pt>
                <c:pt idx="3">
                  <c:v>0.022</c:v>
                </c:pt>
                <c:pt idx="4">
                  <c:v>0.0134</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0.3631</c:v>
                </c:pt>
                <c:pt idx="1">
                  <c:v>0.3435</c:v>
                </c:pt>
                <c:pt idx="2">
                  <c:v>0.2421</c:v>
                </c:pt>
                <c:pt idx="3">
                  <c:v>0.033</c:v>
                </c:pt>
                <c:pt idx="4">
                  <c:v>0.0183</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0.3521</c:v>
                </c:pt>
                <c:pt idx="1">
                  <c:v>0.3264</c:v>
                </c:pt>
                <c:pt idx="2">
                  <c:v>0.2323</c:v>
                </c:pt>
                <c:pt idx="3">
                  <c:v>0.0623</c:v>
                </c:pt>
                <c:pt idx="4">
                  <c:v>0.0269</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0.3655</c:v>
                </c:pt>
                <c:pt idx="1">
                  <c:v>0.3472</c:v>
                </c:pt>
                <c:pt idx="2">
                  <c:v>0.2347</c:v>
                </c:pt>
                <c:pt idx="3">
                  <c:v>0.0342</c:v>
                </c:pt>
                <c:pt idx="4">
                  <c:v>0.0183</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0.3582</c:v>
                </c:pt>
                <c:pt idx="1">
                  <c:v>0.357</c:v>
                </c:pt>
                <c:pt idx="2">
                  <c:v>0.2396</c:v>
                </c:pt>
                <c:pt idx="3">
                  <c:v>0.0269</c:v>
                </c:pt>
                <c:pt idx="4">
                  <c:v>0.0183</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0.3863</c:v>
                </c:pt>
                <c:pt idx="1">
                  <c:v>0.3178</c:v>
                </c:pt>
                <c:pt idx="2">
                  <c:v>0.2482</c:v>
                </c:pt>
                <c:pt idx="3">
                  <c:v>0.0293</c:v>
                </c:pt>
                <c:pt idx="4">
                  <c:v>0.0183</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③中等</c:v>
                </c:pt>
                <c:pt idx="1">
                  <c:v>②满意</c:v>
                </c:pt>
                <c:pt idx="2">
                  <c:v>①非常满意</c:v>
                </c:pt>
                <c:pt idx="3">
                  <c:v>④不满意</c:v>
                </c:pt>
                <c:pt idx="4">
                  <c:v>⑤非常不满意</c:v>
                </c:pt>
              </c:strCache>
            </c:strRef>
          </c:cat>
          <c:val>
            <c:numRef>
              <c:f>Sheet1!$B$2:$B$6</c:f>
              <c:numCache>
                <c:formatCode>0.00%</c:formatCode>
                <c:ptCount val="5"/>
                <c:pt idx="0">
                  <c:v>0.3545</c:v>
                </c:pt>
                <c:pt idx="1">
                  <c:v>0.3533</c:v>
                </c:pt>
                <c:pt idx="2">
                  <c:v>0.2384</c:v>
                </c:pt>
                <c:pt idx="3">
                  <c:v>0.0355</c:v>
                </c:pt>
                <c:pt idx="4">
                  <c:v>0.0183</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0.3765</c:v>
                </c:pt>
                <c:pt idx="1">
                  <c:v>0.3496</c:v>
                </c:pt>
                <c:pt idx="2">
                  <c:v>0.2421</c:v>
                </c:pt>
                <c:pt idx="3">
                  <c:v>0.0208</c:v>
                </c:pt>
                <c:pt idx="4">
                  <c:v>0.011</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③中等</c:v>
                </c:pt>
                <c:pt idx="2">
                  <c:v>①非常满意</c:v>
                </c:pt>
                <c:pt idx="3">
                  <c:v>④不满意</c:v>
                </c:pt>
                <c:pt idx="4">
                  <c:v>⑤非常不满意</c:v>
                </c:pt>
              </c:strCache>
            </c:strRef>
          </c:cat>
          <c:val>
            <c:numRef>
              <c:f>Sheet1!$B$2:$B$6</c:f>
              <c:numCache>
                <c:formatCode>0.00%</c:formatCode>
                <c:ptCount val="5"/>
                <c:pt idx="0">
                  <c:v>0.3985</c:v>
                </c:pt>
                <c:pt idx="1">
                  <c:v>0.2922</c:v>
                </c:pt>
                <c:pt idx="2">
                  <c:v>0.2677</c:v>
                </c:pt>
                <c:pt idx="3">
                  <c:v>0.0318</c:v>
                </c:pt>
                <c:pt idx="4">
                  <c:v>0.0098</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国家基层项目</c:v>
                </c:pt>
                <c:pt idx="1">
                  <c:v>出国、出境</c:v>
                </c:pt>
                <c:pt idx="2">
                  <c:v>地方基层项目</c:v>
                </c:pt>
                <c:pt idx="3">
                  <c:v>自主创业</c:v>
                </c:pt>
                <c:pt idx="4">
                  <c:v>自由职业</c:v>
                </c:pt>
                <c:pt idx="5">
                  <c:v>其他暂不就业</c:v>
                </c:pt>
                <c:pt idx="6">
                  <c:v>其他录用形式就业</c:v>
                </c:pt>
                <c:pt idx="7">
                  <c:v>应征义务兵</c:v>
                </c:pt>
                <c:pt idx="8">
                  <c:v>签劳动合同形式就业</c:v>
                </c:pt>
                <c:pt idx="9">
                  <c:v>待就业</c:v>
                </c:pt>
                <c:pt idx="10">
                  <c:v>升学</c:v>
                </c:pt>
                <c:pt idx="11">
                  <c:v>签就业协议形式就业</c:v>
                </c:pt>
              </c:strCache>
            </c:strRef>
          </c:cat>
          <c:val>
            <c:numRef>
              <c:f>Sheet1!$B$2:$B$13</c:f>
              <c:numCache>
                <c:formatCode>General</c:formatCode>
                <c:ptCount val="12"/>
                <c:pt idx="0">
                  <c:v>1</c:v>
                </c:pt>
                <c:pt idx="1">
                  <c:v>2</c:v>
                </c:pt>
                <c:pt idx="2">
                  <c:v>6</c:v>
                </c:pt>
                <c:pt idx="3">
                  <c:v>20</c:v>
                </c:pt>
                <c:pt idx="4">
                  <c:v>25</c:v>
                </c:pt>
                <c:pt idx="5">
                  <c:v>29</c:v>
                </c:pt>
                <c:pt idx="6">
                  <c:v>35</c:v>
                </c:pt>
                <c:pt idx="7">
                  <c:v>42</c:v>
                </c:pt>
                <c:pt idx="8">
                  <c:v>47</c:v>
                </c:pt>
                <c:pt idx="9">
                  <c:v>102</c:v>
                </c:pt>
                <c:pt idx="10">
                  <c:v>471</c:v>
                </c:pt>
                <c:pt idx="11">
                  <c:v>624</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45149253731343"/>
          <c:y val="0.0711871567384875"/>
          <c:w val="0.944962686567164"/>
          <c:h val="0.850866075200676"/>
        </c:manualLayout>
      </c:layout>
      <c:ofPieChart>
        <c:ofPieType val="bar"/>
        <c:varyColors val="1"/>
        <c:ser>
          <c:idx val="0"/>
          <c:order val="0"/>
          <c:tx>
            <c:strRef>
              <c:f>Sheet1!$B$1</c:f>
              <c:strCache>
                <c:ptCount val="1"/>
                <c:pt idx="0">
                  <c:v>比例</c:v>
                </c:pt>
              </c:strCache>
            </c:strRef>
          </c:tx>
          <c:spPr/>
          <c:explosion val="0"/>
          <c:dPt>
            <c:idx val="0"/>
            <c:bubble3D val="0"/>
            <c:spPr>
              <a:solidFill>
                <a:srgbClr val="FFA372"/>
              </a:solidFill>
              <a:ln w="19050">
                <a:solidFill>
                  <a:schemeClr val="lt1"/>
                </a:solidFill>
              </a:ln>
              <a:effectLst/>
            </c:spPr>
          </c:dPt>
          <c:dPt>
            <c:idx val="1"/>
            <c:bubble3D val="0"/>
            <c:spPr>
              <a:solidFill>
                <a:srgbClr val="EC6563"/>
              </a:solidFill>
              <a:ln w="19050">
                <a:solidFill>
                  <a:schemeClr val="lt1"/>
                </a:solidFill>
              </a:ln>
              <a:effectLst/>
            </c:spPr>
          </c:dPt>
          <c:dPt>
            <c:idx val="2"/>
            <c:bubble3D val="0"/>
            <c:spPr>
              <a:solidFill>
                <a:srgbClr val="1468AF"/>
              </a:solidFill>
              <a:ln w="19050">
                <a:solidFill>
                  <a:schemeClr val="lt1"/>
                </a:solidFill>
              </a:ln>
              <a:effectLst/>
            </c:spPr>
          </c:dPt>
          <c:dPt>
            <c:idx val="3"/>
            <c:bubble3D val="0"/>
            <c:spPr>
              <a:solidFill>
                <a:srgbClr val="F08484"/>
              </a:solidFill>
              <a:ln w="19050">
                <a:solidFill>
                  <a:schemeClr val="lt1"/>
                </a:solidFill>
              </a:ln>
              <a:effectLst/>
            </c:spPr>
          </c:dPt>
          <c:dPt>
            <c:idx val="4"/>
            <c:bubble3D val="0"/>
            <c:spPr>
              <a:solidFill>
                <a:srgbClr val="0F4C80"/>
              </a:solidFill>
              <a:ln w="19050">
                <a:solidFill>
                  <a:schemeClr val="lt1"/>
                </a:solidFill>
              </a:ln>
              <a:effectLst/>
            </c:spPr>
          </c:dPt>
          <c:dPt>
            <c:idx val="5"/>
            <c:bubble3D val="0"/>
            <c:spPr>
              <a:solidFill>
                <a:schemeClr val="accent6"/>
              </a:solidFill>
              <a:ln w="19050">
                <a:solidFill>
                  <a:schemeClr val="lt1"/>
                </a:solidFill>
              </a:ln>
              <a:effectLst/>
            </c:spPr>
          </c:dPt>
          <c:dLbls>
            <c:dLbl>
              <c:idx val="5"/>
              <c:delete val="1"/>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②满意</c:v>
                </c:pt>
                <c:pt idx="1">
                  <c:v>①非常满意</c:v>
                </c:pt>
                <c:pt idx="2">
                  <c:v>③中等</c:v>
                </c:pt>
                <c:pt idx="3">
                  <c:v>④不满意</c:v>
                </c:pt>
                <c:pt idx="4">
                  <c:v>⑤非常不满意</c:v>
                </c:pt>
              </c:strCache>
            </c:strRef>
          </c:cat>
          <c:val>
            <c:numRef>
              <c:f>Sheet1!$B$2:$B$6</c:f>
              <c:numCache>
                <c:formatCode>0.00%</c:formatCode>
                <c:ptCount val="5"/>
                <c:pt idx="0">
                  <c:v>0.3875</c:v>
                </c:pt>
                <c:pt idx="1">
                  <c:v>0.3325</c:v>
                </c:pt>
                <c:pt idx="2">
                  <c:v>0.2506</c:v>
                </c:pt>
                <c:pt idx="3">
                  <c:v>0.0208</c:v>
                </c:pt>
                <c:pt idx="4">
                  <c:v>0.0086</c:v>
                </c:pt>
              </c:numCache>
            </c:numRef>
          </c:val>
        </c:ser>
        <c:dLbls>
          <c:showLegendKey val="0"/>
          <c:showVal val="0"/>
          <c:showCatName val="1"/>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206703910614"/>
          <c:y val="0.0811376723084976"/>
          <c:w val="0.628538175046555"/>
          <c:h val="0.763810853254231"/>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学生上门求职</c:v>
                </c:pt>
                <c:pt idx="2">
                  <c:v>各地区、行业举办的就业市场</c:v>
                </c:pt>
                <c:pt idx="3">
                  <c:v>学校推荐</c:v>
                </c:pt>
                <c:pt idx="4">
                  <c:v>网络进行招聘活动</c:v>
                </c:pt>
                <c:pt idx="5">
                  <c:v>通过学校发布招聘信息</c:v>
                </c:pt>
                <c:pt idx="6">
                  <c:v>参加高校组织的就业市场</c:v>
                </c:pt>
                <c:pt idx="7">
                  <c:v>校园专场</c:v>
                </c:pt>
              </c:strCache>
            </c:strRef>
          </c:cat>
          <c:val>
            <c:numRef>
              <c:f>Sheet1!$B$2:$B$9</c:f>
              <c:numCache>
                <c:formatCode>0.00%</c:formatCode>
                <c:ptCount val="8"/>
                <c:pt idx="0">
                  <c:v>0.0217</c:v>
                </c:pt>
                <c:pt idx="1">
                  <c:v>0.0652</c:v>
                </c:pt>
                <c:pt idx="2">
                  <c:v>0.2391</c:v>
                </c:pt>
                <c:pt idx="3">
                  <c:v>0.2609</c:v>
                </c:pt>
                <c:pt idx="4">
                  <c:v>0.5109</c:v>
                </c:pt>
                <c:pt idx="5">
                  <c:v>0.5652</c:v>
                </c:pt>
                <c:pt idx="6">
                  <c:v>0.587</c:v>
                </c:pt>
                <c:pt idx="7">
                  <c:v>0.8587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6224394785847"/>
          <c:y val="0.0744618964514252"/>
          <c:w val="0.56219739292365"/>
          <c:h val="0.716230366492147"/>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偶尔参加学校招聘会</c:v>
                </c:pt>
                <c:pt idx="1">
                  <c:v>根据有针对性的招聘需求才来</c:v>
                </c:pt>
                <c:pt idx="2">
                  <c:v>第一次来</c:v>
                </c:pt>
                <c:pt idx="3">
                  <c:v>几乎每年都来</c:v>
                </c:pt>
              </c:strCache>
            </c:strRef>
          </c:cat>
          <c:val>
            <c:numRef>
              <c:f>Sheet1!$B$2:$B$5</c:f>
              <c:numCache>
                <c:formatCode>0.00%</c:formatCode>
                <c:ptCount val="4"/>
                <c:pt idx="0">
                  <c:v>0.087</c:v>
                </c:pt>
                <c:pt idx="1">
                  <c:v>0.1304</c:v>
                </c:pt>
                <c:pt idx="2">
                  <c:v>0.1957</c:v>
                </c:pt>
                <c:pt idx="3">
                  <c:v>0.587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0202550637659"/>
          <c:w val="0.679166666666667"/>
          <c:h val="0.7257814453613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2000～3000</c:v>
                </c:pt>
                <c:pt idx="1">
                  <c:v>3000～4000</c:v>
                </c:pt>
                <c:pt idx="2">
                  <c:v>4000～6000</c:v>
                </c:pt>
                <c:pt idx="3">
                  <c:v>8000以上</c:v>
                </c:pt>
                <c:pt idx="4">
                  <c:v>6000～8000</c:v>
                </c:pt>
              </c:strCache>
            </c:strRef>
          </c:cat>
          <c:val>
            <c:numRef>
              <c:f>Sheet1!$B$2:$B$6</c:f>
              <c:numCache>
                <c:formatCode>0.00%</c:formatCode>
                <c:ptCount val="5"/>
                <c:pt idx="0">
                  <c:v>0.0217</c:v>
                </c:pt>
                <c:pt idx="1">
                  <c:v>0.1196</c:v>
                </c:pt>
                <c:pt idx="2">
                  <c:v>0.5543</c:v>
                </c:pt>
                <c:pt idx="3">
                  <c:v>0.8043</c:v>
                </c:pt>
                <c:pt idx="4">
                  <c:v>0.8152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941816204459"/>
          <c:w val="0.679166666666667"/>
          <c:h val="0.728221859706362"/>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c:v>
                </c:pt>
                <c:pt idx="1">
                  <c:v>较低</c:v>
                </c:pt>
                <c:pt idx="2">
                  <c:v>中等</c:v>
                </c:pt>
                <c:pt idx="3">
                  <c:v>高档</c:v>
                </c:pt>
                <c:pt idx="4">
                  <c:v>中等偏上</c:v>
                </c:pt>
              </c:strCache>
            </c:strRef>
          </c:cat>
          <c:val>
            <c:numRef>
              <c:f>Sheet1!$B$2:$B$6</c:f>
              <c:numCache>
                <c:formatCode>0.00%</c:formatCode>
                <c:ptCount val="5"/>
                <c:pt idx="0">
                  <c:v>0</c:v>
                </c:pt>
                <c:pt idx="1">
                  <c:v>0</c:v>
                </c:pt>
                <c:pt idx="2">
                  <c:v>0.087</c:v>
                </c:pt>
                <c:pt idx="3">
                  <c:v>0.1304</c:v>
                </c:pt>
                <c:pt idx="4">
                  <c:v>0.7826</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832446808511"/>
          <c:w val="0.679166666666667"/>
          <c:h val="0.8247007978723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减少大约10%</c:v>
                </c:pt>
                <c:pt idx="1">
                  <c:v>减少大约30%</c:v>
                </c:pt>
                <c:pt idx="2">
                  <c:v>其他</c:v>
                </c:pt>
                <c:pt idx="3">
                  <c:v>减少大约20%</c:v>
                </c:pt>
                <c:pt idx="4">
                  <c:v>增长大约30%</c:v>
                </c:pt>
                <c:pt idx="5">
                  <c:v>基本持平</c:v>
                </c:pt>
                <c:pt idx="6">
                  <c:v>增长大约20%</c:v>
                </c:pt>
                <c:pt idx="7">
                  <c:v>增长大约10%</c:v>
                </c:pt>
              </c:strCache>
            </c:strRef>
          </c:cat>
          <c:val>
            <c:numRef>
              <c:f>Sheet1!$B$2:$B$9</c:f>
              <c:numCache>
                <c:formatCode>0.00%</c:formatCode>
                <c:ptCount val="8"/>
                <c:pt idx="0">
                  <c:v>0</c:v>
                </c:pt>
                <c:pt idx="1">
                  <c:v>0</c:v>
                </c:pt>
                <c:pt idx="2">
                  <c:v>0</c:v>
                </c:pt>
                <c:pt idx="3">
                  <c:v>0.0109</c:v>
                </c:pt>
                <c:pt idx="4">
                  <c:v>0.1304</c:v>
                </c:pt>
                <c:pt idx="5">
                  <c:v>0.2391</c:v>
                </c:pt>
                <c:pt idx="6">
                  <c:v>0.2826</c:v>
                </c:pt>
                <c:pt idx="7">
                  <c:v>0.337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698324022346"/>
          <c:y val="0.0718954248366013"/>
          <c:w val="0.741084729981378"/>
          <c:h val="0.711645870469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不注重</c:v>
                </c:pt>
                <c:pt idx="1">
                  <c:v>一般</c:v>
                </c:pt>
                <c:pt idx="2">
                  <c:v>很注重</c:v>
                </c:pt>
                <c:pt idx="3">
                  <c:v>比较注重</c:v>
                </c:pt>
              </c:strCache>
            </c:strRef>
          </c:cat>
          <c:val>
            <c:numRef>
              <c:f>Sheet1!$B$2:$B$5</c:f>
              <c:numCache>
                <c:formatCode>0.00%</c:formatCode>
                <c:ptCount val="4"/>
                <c:pt idx="0">
                  <c:v>0.0435</c:v>
                </c:pt>
                <c:pt idx="1">
                  <c:v>0.0978</c:v>
                </c:pt>
                <c:pt idx="2">
                  <c:v>0.2935</c:v>
                </c:pt>
                <c:pt idx="3">
                  <c:v>0.5652</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751396648045"/>
          <c:y val="0.0718214170171466"/>
          <c:w val="0.5125"/>
          <c:h val="0.714784859268845"/>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其他</c:v>
                </c:pt>
                <c:pt idx="1">
                  <c:v>科研能力</c:v>
                </c:pt>
                <c:pt idx="2">
                  <c:v>组织管理、人际交往能力</c:v>
                </c:pt>
                <c:pt idx="3">
                  <c:v>独立工作、分析解决问题的能力</c:v>
                </c:pt>
              </c:strCache>
            </c:strRef>
          </c:cat>
          <c:val>
            <c:numRef>
              <c:f>Sheet1!$B$2:$B$5</c:f>
              <c:numCache>
                <c:formatCode>0.00%</c:formatCode>
                <c:ptCount val="4"/>
                <c:pt idx="0">
                  <c:v>0.0109</c:v>
                </c:pt>
                <c:pt idx="1">
                  <c:v>0.0978</c:v>
                </c:pt>
                <c:pt idx="2">
                  <c:v>0.2065</c:v>
                </c:pt>
                <c:pt idx="3">
                  <c:v>0.6848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825569358178054"/>
          <c:w val="0.679166666666667"/>
          <c:h val="0.73146997929606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英语成绩、计算机成绩</c:v>
                </c:pt>
                <c:pt idx="1">
                  <c:v>基础课成绩</c:v>
                </c:pt>
                <c:pt idx="2">
                  <c:v>不做要求，其他</c:v>
                </c:pt>
                <c:pt idx="3">
                  <c:v>实践、实习成绩</c:v>
                </c:pt>
                <c:pt idx="4">
                  <c:v>专业课成绩</c:v>
                </c:pt>
              </c:strCache>
            </c:strRef>
          </c:cat>
          <c:val>
            <c:numRef>
              <c:f>Sheet1!$B$2:$B$6</c:f>
              <c:numCache>
                <c:formatCode>0.00%</c:formatCode>
                <c:ptCount val="5"/>
                <c:pt idx="0">
                  <c:v>0</c:v>
                </c:pt>
                <c:pt idx="1">
                  <c:v>0.0543</c:v>
                </c:pt>
                <c:pt idx="2">
                  <c:v>0.0978</c:v>
                </c:pt>
                <c:pt idx="3">
                  <c:v>0.2609</c:v>
                </c:pt>
                <c:pt idx="4">
                  <c:v>0.587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9860335195531"/>
          <c:y val="0.0811483814266881"/>
          <c:w val="0.516340782122905"/>
          <c:h val="0.785030027830672"/>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其他</c:v>
                </c:pt>
                <c:pt idx="1">
                  <c:v>计算机技能</c:v>
                </c:pt>
                <c:pt idx="2">
                  <c:v>外语水平</c:v>
                </c:pt>
                <c:pt idx="3">
                  <c:v>学生干部经历</c:v>
                </c:pt>
                <c:pt idx="4">
                  <c:v>心理素质</c:v>
                </c:pt>
                <c:pt idx="5">
                  <c:v>思想政治素质</c:v>
                </c:pt>
                <c:pt idx="6">
                  <c:v>学习成绩</c:v>
                </c:pt>
                <c:pt idx="7">
                  <c:v>敬业精神</c:v>
                </c:pt>
                <c:pt idx="8">
                  <c:v>社会实践经历或工作经验</c:v>
                </c:pt>
                <c:pt idx="9">
                  <c:v>毕业生综合素质（协作精神、人际沟通能力、创新能力、解决问题的能力等）</c:v>
                </c:pt>
              </c:strCache>
            </c:strRef>
          </c:cat>
          <c:val>
            <c:numRef>
              <c:f>Sheet1!$B$2:$B$11</c:f>
              <c:numCache>
                <c:formatCode>0.00%</c:formatCode>
                <c:ptCount val="10"/>
                <c:pt idx="0">
                  <c:v>0</c:v>
                </c:pt>
                <c:pt idx="1">
                  <c:v>0.0435</c:v>
                </c:pt>
                <c:pt idx="2">
                  <c:v>0.1087</c:v>
                </c:pt>
                <c:pt idx="3">
                  <c:v>0.1304</c:v>
                </c:pt>
                <c:pt idx="4">
                  <c:v>0.2391</c:v>
                </c:pt>
                <c:pt idx="5">
                  <c:v>0.2717</c:v>
                </c:pt>
                <c:pt idx="6">
                  <c:v>0.3804</c:v>
                </c:pt>
                <c:pt idx="7">
                  <c:v>0.3913</c:v>
                </c:pt>
                <c:pt idx="8">
                  <c:v>0.5326</c:v>
                </c:pt>
                <c:pt idx="9">
                  <c:v>0.9239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162011173184"/>
          <c:y val="0.0812555260831123"/>
          <c:w val="0.679166666666667"/>
          <c:h val="0.820548187444739"/>
        </c:manualLayout>
      </c:layout>
      <c:barChart>
        <c:barDir val="bar"/>
        <c:grouping val="stacked"/>
        <c:varyColors val="0"/>
        <c:ser>
          <c:idx val="0"/>
          <c:order val="0"/>
          <c:tx>
            <c:strRef>
              <c:f>Sheet1!$B$1</c:f>
              <c:strCache>
                <c:ptCount val="1"/>
                <c:pt idx="0">
                  <c:v>人数</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采矿业</c:v>
                </c:pt>
                <c:pt idx="1">
                  <c:v>水利、环境和公共设施管理业</c:v>
                </c:pt>
                <c:pt idx="2">
                  <c:v>电力、热力、燃气及水生产和供应业</c:v>
                </c:pt>
                <c:pt idx="3">
                  <c:v>金融业</c:v>
                </c:pt>
                <c:pt idx="4">
                  <c:v>卫生和社会工作</c:v>
                </c:pt>
                <c:pt idx="5">
                  <c:v>农、林、牧、渔业</c:v>
                </c:pt>
                <c:pt idx="6">
                  <c:v>科学研究和技术服务业</c:v>
                </c:pt>
                <c:pt idx="7">
                  <c:v>公共管理、社会保障和社会组织</c:v>
                </c:pt>
                <c:pt idx="8">
                  <c:v>房地产业</c:v>
                </c:pt>
                <c:pt idx="9">
                  <c:v>租赁和商务服务业</c:v>
                </c:pt>
                <c:pt idx="10">
                  <c:v>交通运输、仓储和邮政业</c:v>
                </c:pt>
                <c:pt idx="11">
                  <c:v>居民服务、修理和其他服务业</c:v>
                </c:pt>
                <c:pt idx="12">
                  <c:v>制造业</c:v>
                </c:pt>
                <c:pt idx="13">
                  <c:v>住宿和餐饮业</c:v>
                </c:pt>
                <c:pt idx="14">
                  <c:v>信息传输、软件和信息技术服务业</c:v>
                </c:pt>
                <c:pt idx="15">
                  <c:v>建筑业</c:v>
                </c:pt>
                <c:pt idx="16">
                  <c:v>批发和零售业</c:v>
                </c:pt>
                <c:pt idx="17">
                  <c:v>教育</c:v>
                </c:pt>
                <c:pt idx="18">
                  <c:v>文化、体育和娱乐业</c:v>
                </c:pt>
              </c:strCache>
            </c:strRef>
          </c:cat>
          <c:val>
            <c:numRef>
              <c:f>Sheet1!$B$2:$B$20</c:f>
              <c:numCache>
                <c:formatCode>General</c:formatCode>
                <c:ptCount val="19"/>
                <c:pt idx="0">
                  <c:v>1</c:v>
                </c:pt>
                <c:pt idx="1">
                  <c:v>2</c:v>
                </c:pt>
                <c:pt idx="2">
                  <c:v>4</c:v>
                </c:pt>
                <c:pt idx="3">
                  <c:v>4</c:v>
                </c:pt>
                <c:pt idx="4">
                  <c:v>4</c:v>
                </c:pt>
                <c:pt idx="5">
                  <c:v>5</c:v>
                </c:pt>
                <c:pt idx="6">
                  <c:v>6</c:v>
                </c:pt>
                <c:pt idx="7">
                  <c:v>7</c:v>
                </c:pt>
                <c:pt idx="8">
                  <c:v>10</c:v>
                </c:pt>
                <c:pt idx="9">
                  <c:v>12</c:v>
                </c:pt>
                <c:pt idx="10">
                  <c:v>14</c:v>
                </c:pt>
                <c:pt idx="11">
                  <c:v>21</c:v>
                </c:pt>
                <c:pt idx="12">
                  <c:v>32</c:v>
                </c:pt>
                <c:pt idx="13">
                  <c:v>41</c:v>
                </c:pt>
                <c:pt idx="14">
                  <c:v>44</c:v>
                </c:pt>
                <c:pt idx="15">
                  <c:v>50</c:v>
                </c:pt>
                <c:pt idx="16">
                  <c:v>99</c:v>
                </c:pt>
                <c:pt idx="17">
                  <c:v>175</c:v>
                </c:pt>
                <c:pt idx="18">
                  <c:v>175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002793296089"/>
          <c:y val="0.0801429300663604"/>
          <c:w val="0.642504655493482"/>
          <c:h val="0.81819806023481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其他</c:v>
                </c:pt>
                <c:pt idx="1">
                  <c:v>文字表达能力</c:v>
                </c:pt>
                <c:pt idx="2">
                  <c:v>仪表</c:v>
                </c:pt>
                <c:pt idx="3">
                  <c:v>举止</c:v>
                </c:pt>
                <c:pt idx="4">
                  <c:v>心理素质</c:v>
                </c:pt>
                <c:pt idx="5">
                  <c:v>创新能力</c:v>
                </c:pt>
                <c:pt idx="6">
                  <c:v>应变能力</c:v>
                </c:pt>
                <c:pt idx="7">
                  <c:v>解决实际问题的能力</c:v>
                </c:pt>
                <c:pt idx="8">
                  <c:v>语言表达能力</c:v>
                </c:pt>
                <c:pt idx="9">
                  <c:v>专业素养</c:v>
                </c:pt>
                <c:pt idx="10">
                  <c:v>协作精神、人际沟通能力</c:v>
                </c:pt>
              </c:strCache>
            </c:strRef>
          </c:cat>
          <c:val>
            <c:numRef>
              <c:f>Sheet1!$B$2:$B$12</c:f>
              <c:numCache>
                <c:formatCode>0.00%</c:formatCode>
                <c:ptCount val="11"/>
                <c:pt idx="0">
                  <c:v>0.0326</c:v>
                </c:pt>
                <c:pt idx="1">
                  <c:v>0.0435</c:v>
                </c:pt>
                <c:pt idx="2">
                  <c:v>0.1087</c:v>
                </c:pt>
                <c:pt idx="3">
                  <c:v>0.1304</c:v>
                </c:pt>
                <c:pt idx="4">
                  <c:v>0.1413</c:v>
                </c:pt>
                <c:pt idx="5">
                  <c:v>0.2283</c:v>
                </c:pt>
                <c:pt idx="6">
                  <c:v>0.2391</c:v>
                </c:pt>
                <c:pt idx="7">
                  <c:v>0.5435</c:v>
                </c:pt>
                <c:pt idx="8">
                  <c:v>0.5543</c:v>
                </c:pt>
                <c:pt idx="9">
                  <c:v>0.5978</c:v>
                </c:pt>
                <c:pt idx="10">
                  <c:v>0.6739</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779801853627357"/>
          <c:w val="0.679166666666667"/>
          <c:h val="0.770661553211889"/>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一般</c:v>
                </c:pt>
                <c:pt idx="1">
                  <c:v>较差</c:v>
                </c:pt>
                <c:pt idx="2">
                  <c:v>很好</c:v>
                </c:pt>
                <c:pt idx="3">
                  <c:v>较好</c:v>
                </c:pt>
              </c:strCache>
            </c:strRef>
          </c:cat>
          <c:val>
            <c:numRef>
              <c:f>Sheet1!$B$2:$B$5</c:f>
              <c:numCache>
                <c:formatCode>0.00%</c:formatCode>
                <c:ptCount val="4"/>
                <c:pt idx="0">
                  <c:v>0</c:v>
                </c:pt>
                <c:pt idx="1">
                  <c:v>0</c:v>
                </c:pt>
                <c:pt idx="2">
                  <c:v>0.3152</c:v>
                </c:pt>
                <c:pt idx="3">
                  <c:v>0.6848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120060790274"/>
          <c:w val="0.679166666666667"/>
          <c:h val="0.835049392097264"/>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人文素养</c:v>
                </c:pt>
                <c:pt idx="1">
                  <c:v>外语能力</c:v>
                </c:pt>
                <c:pt idx="2">
                  <c:v>发展潜力</c:v>
                </c:pt>
                <c:pt idx="3">
                  <c:v>心理素质</c:v>
                </c:pt>
                <c:pt idx="4">
                  <c:v>其他</c:v>
                </c:pt>
                <c:pt idx="5">
                  <c:v>人际交往</c:v>
                </c:pt>
                <c:pt idx="6">
                  <c:v>独立工作能力</c:v>
                </c:pt>
                <c:pt idx="7">
                  <c:v>敬业精神</c:v>
                </c:pt>
                <c:pt idx="8">
                  <c:v>组织协调</c:v>
                </c:pt>
                <c:pt idx="9">
                  <c:v>研究能力</c:v>
                </c:pt>
                <c:pt idx="10">
                  <c:v>解决问题能力</c:v>
                </c:pt>
                <c:pt idx="11">
                  <c:v>实际操作</c:v>
                </c:pt>
                <c:pt idx="12">
                  <c:v>团队合作</c:v>
                </c:pt>
                <c:pt idx="13">
                  <c:v>知识结构</c:v>
                </c:pt>
                <c:pt idx="14">
                  <c:v>创新能力</c:v>
                </c:pt>
              </c:strCache>
            </c:strRef>
          </c:cat>
          <c:val>
            <c:numRef>
              <c:f>Sheet1!$B$2:$B$16</c:f>
              <c:numCache>
                <c:formatCode>0.00%</c:formatCode>
                <c:ptCount val="15"/>
                <c:pt idx="0">
                  <c:v>0.0761</c:v>
                </c:pt>
                <c:pt idx="1">
                  <c:v>0.2174</c:v>
                </c:pt>
                <c:pt idx="2">
                  <c:v>0.2174</c:v>
                </c:pt>
                <c:pt idx="3">
                  <c:v>0.2609</c:v>
                </c:pt>
                <c:pt idx="4">
                  <c:v>0.2609</c:v>
                </c:pt>
                <c:pt idx="5">
                  <c:v>0.2717</c:v>
                </c:pt>
                <c:pt idx="6">
                  <c:v>0.3043</c:v>
                </c:pt>
                <c:pt idx="7">
                  <c:v>0.3587</c:v>
                </c:pt>
                <c:pt idx="8">
                  <c:v>0.3696</c:v>
                </c:pt>
                <c:pt idx="9">
                  <c:v>0.3804</c:v>
                </c:pt>
                <c:pt idx="10">
                  <c:v>0.3804</c:v>
                </c:pt>
                <c:pt idx="11">
                  <c:v>0.4565</c:v>
                </c:pt>
                <c:pt idx="12">
                  <c:v>0.5</c:v>
                </c:pt>
                <c:pt idx="13">
                  <c:v>0.5109</c:v>
                </c:pt>
                <c:pt idx="14">
                  <c:v>0.5435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699035812672176"/>
          <c:w val="0.679166666666667"/>
          <c:h val="0.70571625344352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较差</c:v>
                </c:pt>
                <c:pt idx="1">
                  <c:v>一般</c:v>
                </c:pt>
                <c:pt idx="2">
                  <c:v>很好</c:v>
                </c:pt>
                <c:pt idx="3">
                  <c:v>较好</c:v>
                </c:pt>
              </c:strCache>
            </c:strRef>
          </c:cat>
          <c:val>
            <c:numRef>
              <c:f>Sheet1!$B$2:$B$5</c:f>
              <c:numCache>
                <c:formatCode>0.00%</c:formatCode>
                <c:ptCount val="4"/>
                <c:pt idx="0">
                  <c:v>0</c:v>
                </c:pt>
                <c:pt idx="1">
                  <c:v>0.0109</c:v>
                </c:pt>
                <c:pt idx="2">
                  <c:v>0.4022</c:v>
                </c:pt>
                <c:pt idx="3">
                  <c:v>0.587</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同行推荐</c:v>
                </c:pt>
                <c:pt idx="1">
                  <c:v>其它</c:v>
                </c:pt>
                <c:pt idx="2">
                  <c:v>多年的合作关系</c:v>
                </c:pt>
                <c:pt idx="3">
                  <c:v>学校声誉好</c:v>
                </c:pt>
                <c:pt idx="4">
                  <c:v>工作踏实，忠诚度高</c:v>
                </c:pt>
                <c:pt idx="5">
                  <c:v>专业基础知识扎实</c:v>
                </c:pt>
                <c:pt idx="6">
                  <c:v>综合素质较高</c:v>
                </c:pt>
              </c:strCache>
            </c:strRef>
          </c:cat>
          <c:val>
            <c:numRef>
              <c:f>Sheet1!$B$2:$B$8</c:f>
              <c:numCache>
                <c:formatCode>0.00%</c:formatCode>
                <c:ptCount val="7"/>
                <c:pt idx="0">
                  <c:v>0.0109</c:v>
                </c:pt>
                <c:pt idx="1">
                  <c:v>0.0435</c:v>
                </c:pt>
                <c:pt idx="2">
                  <c:v>0.0543</c:v>
                </c:pt>
                <c:pt idx="3">
                  <c:v>0.0761</c:v>
                </c:pt>
                <c:pt idx="4">
                  <c:v>0.1848</c:v>
                </c:pt>
                <c:pt idx="5">
                  <c:v>0.2826</c:v>
                </c:pt>
                <c:pt idx="6">
                  <c:v>0.3478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3776287717159"/>
          <c:w val="0.679166666666667"/>
          <c:h val="0.757512953367876"/>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较欠缺</c:v>
                </c:pt>
                <c:pt idx="1">
                  <c:v>欠缺</c:v>
                </c:pt>
                <c:pt idx="2">
                  <c:v>一般</c:v>
                </c:pt>
                <c:pt idx="3">
                  <c:v>非常充足</c:v>
                </c:pt>
                <c:pt idx="4">
                  <c:v>比较充足</c:v>
                </c:pt>
              </c:strCache>
            </c:strRef>
          </c:cat>
          <c:val>
            <c:numRef>
              <c:f>Sheet1!$B$2:$B$6</c:f>
              <c:numCache>
                <c:formatCode>0.00%</c:formatCode>
                <c:ptCount val="5"/>
                <c:pt idx="0">
                  <c:v>0</c:v>
                </c:pt>
                <c:pt idx="1">
                  <c:v>0</c:v>
                </c:pt>
                <c:pt idx="2">
                  <c:v>0.0978</c:v>
                </c:pt>
                <c:pt idx="3">
                  <c:v>0.3043</c:v>
                </c:pt>
                <c:pt idx="4">
                  <c:v>0.5978</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509310986965"/>
          <c:y val="0.0826593601739471"/>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较慢</c:v>
                </c:pt>
                <c:pt idx="1">
                  <c:v>很慢</c:v>
                </c:pt>
                <c:pt idx="2">
                  <c:v>一般</c:v>
                </c:pt>
                <c:pt idx="3">
                  <c:v>很快</c:v>
                </c:pt>
                <c:pt idx="4">
                  <c:v>较快</c:v>
                </c:pt>
              </c:strCache>
            </c:strRef>
          </c:cat>
          <c:val>
            <c:numRef>
              <c:f>Sheet1!$B$2:$B$6</c:f>
              <c:numCache>
                <c:formatCode>0.00%</c:formatCode>
                <c:ptCount val="5"/>
                <c:pt idx="0">
                  <c:v>0</c:v>
                </c:pt>
                <c:pt idx="1">
                  <c:v>0</c:v>
                </c:pt>
                <c:pt idx="2">
                  <c:v>0.0761</c:v>
                </c:pt>
                <c:pt idx="3">
                  <c:v>0.2609</c:v>
                </c:pt>
                <c:pt idx="4">
                  <c:v>0.663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259253056439"/>
          <c:w val="0.679166666666667"/>
          <c:h val="0.783185396081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不太适应</c:v>
                </c:pt>
                <c:pt idx="1">
                  <c:v>一般</c:v>
                </c:pt>
                <c:pt idx="2">
                  <c:v>很适应</c:v>
                </c:pt>
                <c:pt idx="3">
                  <c:v>较适应</c:v>
                </c:pt>
              </c:strCache>
            </c:strRef>
          </c:cat>
          <c:val>
            <c:numRef>
              <c:f>Sheet1!$B$2:$B$5</c:f>
              <c:numCache>
                <c:formatCode>0.00%</c:formatCode>
                <c:ptCount val="4"/>
                <c:pt idx="0">
                  <c:v>0</c:v>
                </c:pt>
                <c:pt idx="1">
                  <c:v>0.0217</c:v>
                </c:pt>
                <c:pt idx="2">
                  <c:v>0.2717</c:v>
                </c:pt>
                <c:pt idx="3">
                  <c:v>0.7065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759776536313"/>
          <c:y val="0.0811982154238368"/>
          <c:w val="0.488989757914339"/>
          <c:h val="0.81674952198852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加强个人道德和修养</c:v>
                </c:pt>
                <c:pt idx="1">
                  <c:v>加强英语及计算机教学力度</c:v>
                </c:pt>
                <c:pt idx="2">
                  <c:v>加强人文社会科学素养训练</c:v>
                </c:pt>
                <c:pt idx="3">
                  <c:v>其他</c:v>
                </c:pt>
                <c:pt idx="4">
                  <c:v>加强文字水平及语言表达能力培养</c:v>
                </c:pt>
                <c:pt idx="5">
                  <c:v>加强专业知识培养</c:v>
                </c:pt>
                <c:pt idx="6">
                  <c:v>加强人生观、职业道德和劳动态度培养</c:v>
                </c:pt>
                <c:pt idx="7">
                  <c:v>加强人际沟通及协调能力培养</c:v>
                </c:pt>
                <c:pt idx="8">
                  <c:v>知识传授要结合“前沿”，教学方法要灵活多样，教学内容要“与时俱进”</c:v>
                </c:pt>
                <c:pt idx="9">
                  <c:v>加强竞争意识和创新能力培养</c:v>
                </c:pt>
                <c:pt idx="10">
                  <c:v>加强基础知识培养、拓宽知识面</c:v>
                </c:pt>
                <c:pt idx="11">
                  <c:v>强化教学实习、见习及社会实践环节，加强应用能力培养</c:v>
                </c:pt>
              </c:strCache>
            </c:strRef>
          </c:cat>
          <c:val>
            <c:numRef>
              <c:f>Sheet1!$B$2:$B$13</c:f>
              <c:numCache>
                <c:formatCode>0.00%</c:formatCode>
                <c:ptCount val="12"/>
                <c:pt idx="0">
                  <c:v>0.0652</c:v>
                </c:pt>
                <c:pt idx="1">
                  <c:v>0.0652</c:v>
                </c:pt>
                <c:pt idx="2">
                  <c:v>0.0761</c:v>
                </c:pt>
                <c:pt idx="3">
                  <c:v>0.0761</c:v>
                </c:pt>
                <c:pt idx="4">
                  <c:v>0.1196</c:v>
                </c:pt>
                <c:pt idx="5">
                  <c:v>0.2065</c:v>
                </c:pt>
                <c:pt idx="6">
                  <c:v>0.2174</c:v>
                </c:pt>
                <c:pt idx="7">
                  <c:v>0.25</c:v>
                </c:pt>
                <c:pt idx="8">
                  <c:v>0.3152</c:v>
                </c:pt>
                <c:pt idx="9">
                  <c:v>0.3261</c:v>
                </c:pt>
                <c:pt idx="10">
                  <c:v>0.4348</c:v>
                </c:pt>
                <c:pt idx="11">
                  <c:v>0.5</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763500931099"/>
          <c:y val="0.0812136071100215"/>
          <c:w val="0.679166666666667"/>
          <c:h val="0.734722647870058"/>
        </c:manualLayout>
      </c:layout>
      <c:barChart>
        <c:barDir val="bar"/>
        <c:grouping val="stacked"/>
        <c:varyColors val="0"/>
        <c:ser>
          <c:idx val="0"/>
          <c:order val="0"/>
          <c:tx>
            <c:strRef>
              <c:f>Sheet1!$B$1</c:f>
              <c:strCache>
                <c:ptCount val="1"/>
                <c:pt idx="0">
                  <c:v>比例</c:v>
                </c:pt>
              </c:strCache>
            </c:strRef>
          </c:tx>
          <c:spPr>
            <a:solidFill>
              <a:srgbClr val="1F497D">
                <a:lumMod val="60000"/>
                <a:lumOff val="40000"/>
              </a:srgb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不太满意</c:v>
                </c:pt>
                <c:pt idx="1">
                  <c:v>一般</c:v>
                </c:pt>
                <c:pt idx="2">
                  <c:v>很满意</c:v>
                </c:pt>
                <c:pt idx="3">
                  <c:v>比较满意</c:v>
                </c:pt>
              </c:strCache>
            </c:strRef>
          </c:cat>
          <c:val>
            <c:numRef>
              <c:f>Sheet1!$B$2:$B$5</c:f>
              <c:numCache>
                <c:formatCode>0.00%</c:formatCode>
                <c:ptCount val="4"/>
                <c:pt idx="0">
                  <c:v>0</c:v>
                </c:pt>
                <c:pt idx="1">
                  <c:v>0.0109</c:v>
                </c:pt>
                <c:pt idx="2">
                  <c:v>0.4348</c:v>
                </c:pt>
                <c:pt idx="3">
                  <c:v>0.5543</c:v>
                </c:pt>
              </c:numCache>
            </c:numRef>
          </c:val>
        </c:ser>
        <c:dLbls>
          <c:showLegendKey val="0"/>
          <c:showVal val="1"/>
          <c:showCatName val="0"/>
          <c:showSerName val="0"/>
          <c:showPercent val="0"/>
          <c:showBubbleSize val="0"/>
        </c:dLbls>
        <c:gapWidth val="100"/>
        <c:overlap val="100"/>
        <c:axId val="144291649"/>
        <c:axId val="485869114"/>
      </c:barChart>
      <c:catAx>
        <c:axId val="14429164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5869114"/>
        <c:crosses val="autoZero"/>
        <c:auto val="1"/>
        <c:lblAlgn val="ctr"/>
        <c:lblOffset val="100"/>
        <c:noMultiLvlLbl val="0"/>
      </c:catAx>
      <c:valAx>
        <c:axId val="48586911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44291649"/>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aust</Company>
  <Pages>107</Pages>
  <Words>24681</Words>
  <Characters>39184</Characters>
  <Lines>197</Lines>
  <Paragraphs>55</Paragraphs>
  <TotalTime>12</TotalTime>
  <ScaleCrop>false</ScaleCrop>
  <LinksUpToDate>false</LinksUpToDate>
  <CharactersWithSpaces>39439</CharactersWithSpaces>
  <Application>WPS Office_11.1.0.13012_F1E327BC-269C-435d-A152-05C5408002CA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2018-01-05T08:01:00Z</dcterms:created>
  <dc:creator>Administrator</dc:creator>
  <cp:lastModifiedBy>Ruby Zhao</cp:lastModifiedBy>
  <cp:lastPrinted>2022-10-27T14:31:00Z</cp:lastPrinted>
  <dcterms:modified xsi:type="dcterms:W3CDTF">2023-01-02T09:07:26Z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5CC0A9D24D4842BEA1A5B87A688E76FC</vt:lpwstr>
  </property>
</Properties>
</file>